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4826" w14:textId="77777777" w:rsidR="00BF1153" w:rsidRPr="00F57CD0" w:rsidRDefault="00BF1153" w:rsidP="00BF1153">
      <w:pPr>
        <w:pStyle w:val="Pis"/>
        <w:jc w:val="right"/>
        <w:rPr>
          <w:rFonts w:ascii="Times New Roman" w:hAnsi="Times New Roman" w:cs="Times New Roman"/>
        </w:rPr>
      </w:pPr>
      <w:r w:rsidRPr="00F57CD0">
        <w:rPr>
          <w:rFonts w:ascii="Times New Roman" w:hAnsi="Times New Roman" w:cs="Times New Roman"/>
        </w:rPr>
        <w:t xml:space="preserve">Lisa 3 </w:t>
      </w:r>
    </w:p>
    <w:p w14:paraId="45687293" w14:textId="0B9D024A" w:rsidR="003445D1" w:rsidRPr="00F57CD0" w:rsidRDefault="003445D1" w:rsidP="00BF1153">
      <w:pPr>
        <w:pStyle w:val="Pis"/>
        <w:jc w:val="right"/>
        <w:rPr>
          <w:rFonts w:ascii="Times New Roman" w:hAnsi="Times New Roman" w:cs="Times New Roman"/>
          <w:lang w:val="et-EE"/>
        </w:rPr>
      </w:pPr>
      <w:r w:rsidRPr="00F57CD0">
        <w:rPr>
          <w:rFonts w:ascii="Times New Roman" w:hAnsi="Times New Roman" w:cs="Times New Roman"/>
          <w:lang w:val="et-EE"/>
        </w:rPr>
        <w:t xml:space="preserve">Kriminaalmenetluse seadustiku muutmise </w:t>
      </w:r>
      <w:r w:rsidRPr="00F57CD0">
        <w:rPr>
          <w:rFonts w:ascii="Times New Roman" w:hAnsi="Times New Roman" w:cs="Times New Roman"/>
          <w:lang w:val="et-EE"/>
        </w:rPr>
        <w:t>eelnõu</w:t>
      </w:r>
    </w:p>
    <w:p w14:paraId="79B0E2A2" w14:textId="3CFE8765" w:rsidR="00BF1153" w:rsidRPr="00F57CD0" w:rsidRDefault="003445D1" w:rsidP="00BF1153">
      <w:pPr>
        <w:pStyle w:val="Pis"/>
        <w:jc w:val="right"/>
        <w:rPr>
          <w:rFonts w:ascii="Times New Roman" w:hAnsi="Times New Roman" w:cs="Times New Roman"/>
          <w:lang w:val="et-EE"/>
        </w:rPr>
      </w:pPr>
      <w:r w:rsidRPr="00F57CD0">
        <w:rPr>
          <w:rFonts w:ascii="Times New Roman" w:hAnsi="Times New Roman" w:cs="Times New Roman"/>
          <w:lang w:val="et-EE"/>
        </w:rPr>
        <w:t>(rahvusvahelise koostöö lihtsustamine)</w:t>
      </w:r>
      <w:r w:rsidR="00BF1153" w:rsidRPr="00F57CD0">
        <w:rPr>
          <w:rFonts w:ascii="Times New Roman" w:hAnsi="Times New Roman" w:cs="Times New Roman"/>
          <w:lang w:val="et-EE"/>
        </w:rPr>
        <w:t xml:space="preserve"> juurde </w:t>
      </w:r>
    </w:p>
    <w:p w14:paraId="2652F12C" w14:textId="77777777" w:rsidR="00BF1153" w:rsidRPr="007A46B8" w:rsidRDefault="00BF1153" w:rsidP="00BF1153">
      <w:pPr>
        <w:pStyle w:val="Pis"/>
        <w:jc w:val="right"/>
        <w:rPr>
          <w:lang w:val="et-EE"/>
        </w:rPr>
      </w:pPr>
    </w:p>
    <w:tbl>
      <w:tblPr>
        <w:tblW w:w="10490" w:type="dxa"/>
        <w:tblInd w:w="-724" w:type="dxa"/>
        <w:tblLook w:val="04A0" w:firstRow="1" w:lastRow="0" w:firstColumn="1" w:lastColumn="0" w:noHBand="0" w:noVBand="1"/>
      </w:tblPr>
      <w:tblGrid>
        <w:gridCol w:w="6663"/>
        <w:gridCol w:w="3827"/>
      </w:tblGrid>
      <w:tr w:rsidR="00513D78" w:rsidRPr="00CF50CD" w14:paraId="1BA1F86D"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6B49B972" w14:textId="37BE08CF" w:rsidR="00513D78" w:rsidRPr="00CF50CD" w:rsidRDefault="007B751E" w:rsidP="00A9274E">
            <w:pPr>
              <w:rPr>
                <w:rFonts w:ascii="Arial" w:hAnsi="Arial" w:cs="Arial"/>
                <w:b/>
                <w:bCs/>
                <w:sz w:val="20"/>
                <w:szCs w:val="20"/>
                <w:lang w:val="et-EE"/>
              </w:rPr>
            </w:pPr>
            <w:r w:rsidRPr="00CF50CD">
              <w:rPr>
                <w:rFonts w:ascii="Arial" w:hAnsi="Arial" w:cs="Arial"/>
                <w:b/>
                <w:bCs/>
                <w:sz w:val="20"/>
                <w:szCs w:val="20"/>
                <w:lang w:val="et-EE"/>
              </w:rPr>
              <w:t>Kooskõlastuse</w:t>
            </w:r>
            <w:r w:rsidR="003445D1">
              <w:rPr>
                <w:rFonts w:ascii="Arial" w:hAnsi="Arial" w:cs="Arial"/>
                <w:b/>
                <w:bCs/>
                <w:sz w:val="20"/>
                <w:szCs w:val="20"/>
                <w:lang w:val="et-EE"/>
              </w:rPr>
              <w:t>/arvamuse</w:t>
            </w:r>
            <w:r w:rsidRPr="00CF50CD">
              <w:rPr>
                <w:rFonts w:ascii="Arial" w:hAnsi="Arial" w:cs="Arial"/>
                <w:b/>
                <w:bCs/>
                <w:sz w:val="20"/>
                <w:szCs w:val="20"/>
                <w:lang w:val="et-EE"/>
              </w:rPr>
              <w:t xml:space="preserve"> esitaja</w:t>
            </w:r>
            <w:r w:rsidR="00A24B43">
              <w:rPr>
                <w:rFonts w:ascii="Arial" w:hAnsi="Arial" w:cs="Arial"/>
                <w:b/>
                <w:bCs/>
                <w:sz w:val="20"/>
                <w:szCs w:val="20"/>
                <w:lang w:val="et-EE"/>
              </w:rPr>
              <w:t xml:space="preserve"> märkused</w:t>
            </w:r>
          </w:p>
        </w:tc>
        <w:tc>
          <w:tcPr>
            <w:tcW w:w="3827" w:type="dxa"/>
            <w:tcBorders>
              <w:top w:val="single" w:sz="12" w:space="0" w:color="000000"/>
              <w:left w:val="single" w:sz="12" w:space="0" w:color="000000"/>
              <w:bottom w:val="single" w:sz="12" w:space="0" w:color="000000"/>
              <w:right w:val="single" w:sz="12" w:space="0" w:color="000000"/>
            </w:tcBorders>
          </w:tcPr>
          <w:p w14:paraId="065C3D22" w14:textId="77777777" w:rsidR="00513D78" w:rsidRPr="00CF50CD" w:rsidRDefault="00513D78" w:rsidP="00A9274E">
            <w:pPr>
              <w:rPr>
                <w:rFonts w:ascii="Arial" w:hAnsi="Arial" w:cs="Arial"/>
                <w:b/>
                <w:bCs/>
                <w:sz w:val="20"/>
                <w:szCs w:val="20"/>
                <w:lang w:val="et-EE"/>
              </w:rPr>
            </w:pPr>
            <w:r w:rsidRPr="00CF50CD">
              <w:rPr>
                <w:rFonts w:ascii="Arial" w:hAnsi="Arial" w:cs="Arial"/>
                <w:b/>
                <w:bCs/>
                <w:sz w:val="20"/>
                <w:szCs w:val="20"/>
                <w:lang w:val="et-EE"/>
              </w:rPr>
              <w:t>Justiits- ja digiministeeriumi vastus</w:t>
            </w:r>
          </w:p>
        </w:tc>
      </w:tr>
      <w:tr w:rsidR="001F3F86" w:rsidRPr="00CF50CD" w14:paraId="40A7AD79" w14:textId="77777777" w:rsidTr="00DE3AD8">
        <w:tc>
          <w:tcPr>
            <w:tcW w:w="10490" w:type="dxa"/>
            <w:gridSpan w:val="2"/>
            <w:tcBorders>
              <w:top w:val="single" w:sz="12" w:space="0" w:color="000000"/>
              <w:left w:val="single" w:sz="12" w:space="0" w:color="000000"/>
              <w:bottom w:val="single" w:sz="12" w:space="0" w:color="000000"/>
              <w:right w:val="single" w:sz="12" w:space="0" w:color="000000"/>
            </w:tcBorders>
          </w:tcPr>
          <w:p w14:paraId="151E2615" w14:textId="7F416E7F" w:rsidR="001F3F86" w:rsidRPr="00CF50CD" w:rsidRDefault="003445D1" w:rsidP="001F3F86">
            <w:pPr>
              <w:jc w:val="center"/>
              <w:rPr>
                <w:rFonts w:ascii="Arial" w:hAnsi="Arial" w:cs="Arial"/>
                <w:sz w:val="20"/>
                <w:szCs w:val="20"/>
                <w:lang w:val="et-EE"/>
              </w:rPr>
            </w:pPr>
            <w:r>
              <w:rPr>
                <w:rFonts w:ascii="Arial" w:hAnsi="Arial" w:cs="Arial"/>
                <w:b/>
                <w:sz w:val="20"/>
                <w:szCs w:val="20"/>
                <w:lang w:val="et-EE"/>
              </w:rPr>
              <w:t>Riigiprokuratuur</w:t>
            </w:r>
          </w:p>
        </w:tc>
      </w:tr>
      <w:tr w:rsidR="00B0476D" w:rsidRPr="00CF50CD" w14:paraId="4A553FB3"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68A6A789" w14:textId="77777777" w:rsidR="00987584" w:rsidRPr="00987584" w:rsidRDefault="00987584" w:rsidP="00987584">
            <w:pPr>
              <w:spacing w:line="240" w:lineRule="auto"/>
              <w:jc w:val="both"/>
              <w:rPr>
                <w:rFonts w:ascii="Arial" w:hAnsi="Arial" w:cs="Arial"/>
                <w:sz w:val="20"/>
                <w:szCs w:val="20"/>
                <w:lang w:val="et-EE"/>
              </w:rPr>
            </w:pPr>
            <w:r w:rsidRPr="00987584">
              <w:rPr>
                <w:rFonts w:ascii="Arial" w:hAnsi="Arial" w:cs="Arial"/>
                <w:sz w:val="20"/>
                <w:szCs w:val="20"/>
                <w:lang w:val="et-EE"/>
              </w:rPr>
              <w:t>Euroopa Liidu Nõukogu raamotsuse 2008/909/JSK, 27.11.2008, vastastikuse tunnustamise põhimõtte kohaldamise kohta kriminaalasjades tehtud otsuste suhtes, millega määratakse vabadusekaotuslikud karistused või vabadust piiravad meetmed, nende Euroopa Liidus täideviimise eesmärgil (edaspidi Raamotsus) artikkel 13 sätestab: „Väljaandjariik võib põhjendusi esitades võtta täidesaatvast riigist tagasi tunnistuse selle ajani, kuni karistuse täideviimine ei ole täidesaatvas riigis alanud. Täidesaatev riik ei vii tunnistuse tagasivõtmisel enam karistust täide.“</w:t>
            </w:r>
          </w:p>
          <w:p w14:paraId="5C761107" w14:textId="77777777" w:rsidR="00987584" w:rsidRPr="00987584" w:rsidRDefault="00987584" w:rsidP="00987584">
            <w:pPr>
              <w:spacing w:line="240" w:lineRule="auto"/>
              <w:jc w:val="both"/>
              <w:rPr>
                <w:rFonts w:ascii="Arial" w:hAnsi="Arial" w:cs="Arial"/>
                <w:sz w:val="20"/>
                <w:szCs w:val="20"/>
                <w:lang w:val="et-EE"/>
              </w:rPr>
            </w:pPr>
            <w:r w:rsidRPr="00987584">
              <w:rPr>
                <w:rFonts w:ascii="Arial" w:hAnsi="Arial" w:cs="Arial"/>
                <w:sz w:val="20"/>
                <w:szCs w:val="20"/>
                <w:lang w:val="et-EE"/>
              </w:rPr>
              <w:t>Vabadusekaotuse tunnistust reguleerivas KrMS 19. ptk 8. jao 6. jaotises, millega võeti Eesti õigusesse üle nimetatud Raamotsus, leidub analoogses sõnastuses vaid KrMS § 508⁵⁰, kuid nimetatud paragrahv asub seaduse 3. alljaotises pealkirjaga „Vabadusekaotuslikke karistusi ja vabadust piiravaid meetmeid käsitleva kohtuotsuse esitamine Euroopa Liidu liikmesriigile“ ning reguleerib seletuskirja kohaselt Eesti poolt tunnistuse koostamist ja edastamist välisriigile (Seletuskiri RT I, 21.06.2014, 11 - jõust. 01.01.2015). Samamoodi on see sätestatud ka järelevalve tunnistuse Euroopa Liidu liikmesriigile esitamise olukorras KrMS §-s 508⁶⁶.</w:t>
            </w:r>
          </w:p>
          <w:p w14:paraId="4D0E51DC" w14:textId="17E1FC9F" w:rsidR="00B0476D" w:rsidRPr="00CF50CD" w:rsidRDefault="00987584" w:rsidP="00987584">
            <w:pPr>
              <w:spacing w:line="240" w:lineRule="auto"/>
              <w:jc w:val="both"/>
              <w:rPr>
                <w:rFonts w:ascii="Arial" w:hAnsi="Arial" w:cs="Arial"/>
                <w:sz w:val="20"/>
                <w:szCs w:val="20"/>
                <w:lang w:val="et-EE"/>
              </w:rPr>
            </w:pPr>
            <w:r w:rsidRPr="00987584">
              <w:rPr>
                <w:rFonts w:ascii="Arial" w:hAnsi="Arial" w:cs="Arial"/>
                <w:sz w:val="20"/>
                <w:szCs w:val="20"/>
                <w:lang w:val="et-EE"/>
              </w:rPr>
              <w:t>Samasisuline õigus peaks olema sätestatud ka teistele riikidele, kes Eestile vabadusekaotuse tunnistusi või järelevalve tunnistusi esitavad. Näiteks oleks võimalik muuta/täiendada KrMS § 508⁴⁸ ning § 508⁶⁴ selliselt, et need sisaldaks eraldi punktina ka tunnistuse tagasivõtmist ning selle tagajärge.</w:t>
            </w:r>
          </w:p>
        </w:tc>
        <w:tc>
          <w:tcPr>
            <w:tcW w:w="3827" w:type="dxa"/>
            <w:tcBorders>
              <w:top w:val="single" w:sz="12" w:space="0" w:color="000000"/>
              <w:left w:val="single" w:sz="12" w:space="0" w:color="000000"/>
              <w:bottom w:val="single" w:sz="12" w:space="0" w:color="000000"/>
              <w:right w:val="single" w:sz="12" w:space="0" w:color="000000"/>
            </w:tcBorders>
          </w:tcPr>
          <w:p w14:paraId="39674881" w14:textId="28CEA404" w:rsidR="00B0476D" w:rsidRDefault="00987584" w:rsidP="00A9274E">
            <w:pPr>
              <w:rPr>
                <w:rFonts w:ascii="Arial" w:hAnsi="Arial" w:cs="Arial"/>
                <w:bCs/>
                <w:sz w:val="20"/>
                <w:szCs w:val="20"/>
                <w:lang w:val="et-EE"/>
              </w:rPr>
            </w:pPr>
            <w:r>
              <w:rPr>
                <w:rFonts w:ascii="Arial" w:hAnsi="Arial" w:cs="Arial"/>
                <w:bCs/>
                <w:sz w:val="20"/>
                <w:szCs w:val="20"/>
                <w:lang w:val="et-EE"/>
              </w:rPr>
              <w:t>Arvestatud. Eelnõu ja seletuskirja vastavalt täiendatud (§-d 508</w:t>
            </w:r>
            <w:r>
              <w:rPr>
                <w:rFonts w:ascii="Arial" w:hAnsi="Arial" w:cs="Arial"/>
                <w:bCs/>
                <w:sz w:val="20"/>
                <w:szCs w:val="20"/>
                <w:vertAlign w:val="superscript"/>
                <w:lang w:val="et-EE"/>
              </w:rPr>
              <w:t xml:space="preserve">48 </w:t>
            </w:r>
            <w:r>
              <w:rPr>
                <w:rFonts w:ascii="Arial" w:hAnsi="Arial" w:cs="Arial"/>
                <w:bCs/>
                <w:sz w:val="20"/>
                <w:szCs w:val="20"/>
                <w:lang w:val="et-EE"/>
              </w:rPr>
              <w:t>ja 508</w:t>
            </w:r>
            <w:r>
              <w:rPr>
                <w:rFonts w:ascii="Arial" w:hAnsi="Arial" w:cs="Arial"/>
                <w:bCs/>
                <w:sz w:val="20"/>
                <w:szCs w:val="20"/>
                <w:vertAlign w:val="superscript"/>
                <w:lang w:val="et-EE"/>
              </w:rPr>
              <w:t>64</w:t>
            </w:r>
            <w:r>
              <w:rPr>
                <w:rFonts w:ascii="Arial" w:hAnsi="Arial" w:cs="Arial"/>
                <w:bCs/>
                <w:sz w:val="20"/>
                <w:szCs w:val="20"/>
                <w:lang w:val="et-EE"/>
              </w:rPr>
              <w:t xml:space="preserve">). </w:t>
            </w:r>
          </w:p>
        </w:tc>
      </w:tr>
      <w:tr w:rsidR="00513D78" w:rsidRPr="007A46B8" w14:paraId="2EC33973"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3E3850D3" w14:textId="0F20EF17" w:rsidR="00513D78" w:rsidRPr="00CF50CD" w:rsidRDefault="00987584" w:rsidP="00987584">
            <w:pPr>
              <w:spacing w:line="240" w:lineRule="auto"/>
              <w:jc w:val="both"/>
              <w:rPr>
                <w:rFonts w:ascii="Arial" w:eastAsiaTheme="minorHAnsi" w:hAnsi="Arial" w:cs="Arial"/>
                <w:sz w:val="20"/>
                <w:szCs w:val="20"/>
                <w:lang w:val="et-EE"/>
              </w:rPr>
            </w:pPr>
            <w:r w:rsidRPr="00987584">
              <w:rPr>
                <w:rFonts w:ascii="Arial" w:eastAsiaTheme="minorHAnsi" w:hAnsi="Arial" w:cs="Arial"/>
                <w:sz w:val="20"/>
                <w:szCs w:val="20"/>
                <w:lang w:val="et-EE"/>
              </w:rPr>
              <w:t>Praktikas on osutunud probleemseks KrMS § 489</w:t>
            </w:r>
            <w:r w:rsidRPr="00987584">
              <w:rPr>
                <w:rFonts w:ascii="Arial" w:eastAsiaTheme="minorHAnsi" w:hAnsi="Arial" w:cs="Arial"/>
                <w:sz w:val="20"/>
                <w:szCs w:val="20"/>
                <w:vertAlign w:val="superscript"/>
                <w:lang w:val="et-EE"/>
              </w:rPr>
              <w:t>10</w:t>
            </w:r>
            <w:r w:rsidRPr="00987584">
              <w:rPr>
                <w:rFonts w:ascii="Arial" w:eastAsiaTheme="minorHAnsi" w:hAnsi="Arial" w:cs="Arial"/>
                <w:sz w:val="20"/>
                <w:szCs w:val="20"/>
                <w:lang w:val="et-EE"/>
              </w:rPr>
              <w:t xml:space="preserve"> lg 1 p 3 tõlgendamine, mistõttu tuleks</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seda täpsustada. Nimelt tõlgendavad osad kohtunikud sätet selliselt, et kaitsja osavõtt on</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vabadusekaotuse tunnistuste puhul alati kohustuslik. Teised kohtunikud tõlgendavad seda selliselt, et kaitsja osalemine on vajalik vaid siis, kui isik kannab teises riigis juba karistust, kuid</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ei ole vajalik juhul, kui isik ei ole asunud veel karistust kandma. Prokuratuur on seisukohal, et vabadusekaotuse tunnistuse puhul võiks olla kaitsja kaasamine alati kohustuslik.</w:t>
            </w:r>
          </w:p>
        </w:tc>
        <w:tc>
          <w:tcPr>
            <w:tcW w:w="3827" w:type="dxa"/>
            <w:tcBorders>
              <w:top w:val="single" w:sz="12" w:space="0" w:color="000000"/>
              <w:left w:val="single" w:sz="12" w:space="0" w:color="000000"/>
              <w:bottom w:val="single" w:sz="12" w:space="0" w:color="000000"/>
              <w:right w:val="single" w:sz="12" w:space="0" w:color="000000"/>
            </w:tcBorders>
          </w:tcPr>
          <w:p w14:paraId="1181771C" w14:textId="1B9F450D" w:rsidR="00513D78" w:rsidRPr="00CF50CD" w:rsidRDefault="00987584"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r w:rsidR="00513D78" w:rsidRPr="00CF50CD" w14:paraId="670798B7"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25FC41F6" w14:textId="06DDC7DB" w:rsidR="00513D78" w:rsidRPr="00CF50CD" w:rsidRDefault="00987584" w:rsidP="00EA4A1A">
            <w:pPr>
              <w:spacing w:after="0" w:line="240" w:lineRule="auto"/>
              <w:jc w:val="both"/>
              <w:rPr>
                <w:rFonts w:ascii="Arial" w:hAnsi="Arial" w:cs="Arial"/>
                <w:sz w:val="20"/>
                <w:szCs w:val="20"/>
                <w:lang w:val="et-EE"/>
              </w:rPr>
            </w:pPr>
            <w:r w:rsidRPr="00987584">
              <w:rPr>
                <w:rFonts w:ascii="Arial" w:hAnsi="Arial" w:cs="Arial"/>
                <w:sz w:val="20"/>
                <w:szCs w:val="20"/>
                <w:lang w:val="et-EE"/>
              </w:rPr>
              <w:t>Erinevaid tõlgendusi on ka selles, kas süüdimõistetud isiku osalemine on kohustuslik/vajalik vabadusekaotuse ja järelevalve tunnistuste istungitel. Vabadusekaotuslike tunnistuste puhul, eriti juhul, kui isik kannab karistust juba teises riigis, võib isiku osalemine istungil osutuda keeruliseks. Prokuratuur on seisukohal, et isiku viibimine istungil ei ole vajalik, kui temalt on enne Eesti Vabariigile vabadusekaotuse või järelevalve tunnistuse saatmist arvamust küsitud ning see arvamus on lisatud vastavale tunnistusele.</w:t>
            </w:r>
          </w:p>
        </w:tc>
        <w:tc>
          <w:tcPr>
            <w:tcW w:w="3827" w:type="dxa"/>
            <w:tcBorders>
              <w:top w:val="single" w:sz="12" w:space="0" w:color="000000"/>
              <w:left w:val="single" w:sz="12" w:space="0" w:color="000000"/>
              <w:bottom w:val="single" w:sz="12" w:space="0" w:color="000000"/>
              <w:right w:val="single" w:sz="12" w:space="0" w:color="000000"/>
            </w:tcBorders>
          </w:tcPr>
          <w:p w14:paraId="597B375C" w14:textId="386C14CE" w:rsidR="00513D78" w:rsidRPr="00987584" w:rsidRDefault="00987584" w:rsidP="00A9274E">
            <w:pPr>
              <w:rPr>
                <w:rFonts w:ascii="Arial" w:hAnsi="Arial" w:cs="Arial"/>
                <w:bCs/>
                <w:sz w:val="20"/>
                <w:szCs w:val="20"/>
                <w:vertAlign w:val="superscript"/>
                <w:lang w:val="et-EE"/>
              </w:rPr>
            </w:pPr>
            <w:r>
              <w:rPr>
                <w:rFonts w:ascii="Arial" w:hAnsi="Arial" w:cs="Arial"/>
                <w:bCs/>
                <w:sz w:val="20"/>
                <w:szCs w:val="20"/>
                <w:lang w:val="et-EE"/>
              </w:rPr>
              <w:t>Arvestatud. Eelnõu ja seletuskirja täiendatud</w:t>
            </w:r>
            <w:r w:rsidR="00EA4A1A">
              <w:rPr>
                <w:rFonts w:ascii="Arial" w:hAnsi="Arial" w:cs="Arial"/>
                <w:bCs/>
                <w:sz w:val="20"/>
                <w:szCs w:val="20"/>
                <w:lang w:val="et-EE"/>
              </w:rPr>
              <w:t>.</w:t>
            </w:r>
          </w:p>
        </w:tc>
      </w:tr>
      <w:tr w:rsidR="00513D78" w:rsidRPr="00CF50CD" w14:paraId="1609FF74"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3FA5437C" w14:textId="280830D9" w:rsidR="00513D78" w:rsidRPr="00CF50CD" w:rsidRDefault="00987584" w:rsidP="00987584">
            <w:pPr>
              <w:spacing w:line="240" w:lineRule="auto"/>
              <w:jc w:val="both"/>
              <w:rPr>
                <w:rFonts w:ascii="Arial" w:eastAsiaTheme="minorHAnsi" w:hAnsi="Arial" w:cs="Arial"/>
                <w:sz w:val="20"/>
                <w:szCs w:val="20"/>
                <w:lang w:val="et-EE"/>
              </w:rPr>
            </w:pPr>
            <w:r w:rsidRPr="00987584">
              <w:rPr>
                <w:rFonts w:ascii="Arial" w:eastAsiaTheme="minorHAnsi" w:hAnsi="Arial" w:cs="Arial"/>
                <w:sz w:val="20"/>
                <w:szCs w:val="20"/>
                <w:lang w:val="et-EE"/>
              </w:rPr>
              <w:t>Kohtunikud tõlgendavad erinevalt ka küsimust, kas prokurör peab viibima määruse kuulutamise juures. Selguse huvides ja menetlusökonoomikast lähtuvalt võiks KrMS § 489</w:t>
            </w:r>
            <w:r w:rsidRPr="00987584">
              <w:rPr>
                <w:rFonts w:ascii="Arial" w:eastAsiaTheme="minorHAnsi" w:hAnsi="Arial" w:cs="Arial"/>
                <w:sz w:val="20"/>
                <w:szCs w:val="20"/>
                <w:vertAlign w:val="superscript"/>
                <w:lang w:val="et-EE"/>
              </w:rPr>
              <w:t>9</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lõiget 4 täiendada selliselt, et prokuröri osalemine kohtuistungil on küll kohustuslik, kuid mitte</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määruse kuulutamisel. Alternatiivselt võib küsimuse lahendada KrMS §-s 489</w:t>
            </w:r>
            <w:r w:rsidRPr="00987584">
              <w:rPr>
                <w:rFonts w:ascii="Arial" w:eastAsiaTheme="minorHAnsi" w:hAnsi="Arial" w:cs="Arial"/>
                <w:sz w:val="20"/>
                <w:szCs w:val="20"/>
                <w:vertAlign w:val="superscript"/>
                <w:lang w:val="et-EE"/>
              </w:rPr>
              <w:t>11</w:t>
            </w:r>
            <w:r>
              <w:rPr>
                <w:rFonts w:ascii="Arial" w:eastAsiaTheme="minorHAnsi" w:hAnsi="Arial" w:cs="Arial"/>
                <w:sz w:val="20"/>
                <w:szCs w:val="20"/>
                <w:lang w:val="et-EE"/>
              </w:rPr>
              <w:t>.</w:t>
            </w:r>
          </w:p>
        </w:tc>
        <w:tc>
          <w:tcPr>
            <w:tcW w:w="3827" w:type="dxa"/>
            <w:tcBorders>
              <w:top w:val="single" w:sz="12" w:space="0" w:color="000000"/>
              <w:left w:val="single" w:sz="12" w:space="0" w:color="000000"/>
              <w:bottom w:val="single" w:sz="12" w:space="0" w:color="000000"/>
              <w:right w:val="single" w:sz="12" w:space="0" w:color="000000"/>
            </w:tcBorders>
          </w:tcPr>
          <w:p w14:paraId="421AB7CD" w14:textId="4DCCC393" w:rsidR="00513D78" w:rsidRPr="00CF50CD" w:rsidRDefault="00987584"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r w:rsidR="00513D78" w:rsidRPr="00CF50CD" w14:paraId="759008A6"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1899BFAA" w14:textId="7CB90F39" w:rsidR="00513D78" w:rsidRPr="00CF50CD" w:rsidRDefault="00987584" w:rsidP="00987584">
            <w:pPr>
              <w:spacing w:line="240" w:lineRule="auto"/>
              <w:jc w:val="both"/>
              <w:rPr>
                <w:rFonts w:ascii="Arial" w:eastAsiaTheme="minorHAnsi" w:hAnsi="Arial" w:cs="Arial"/>
                <w:sz w:val="20"/>
                <w:szCs w:val="20"/>
                <w:lang w:val="et-EE"/>
              </w:rPr>
            </w:pPr>
            <w:r w:rsidRPr="00987584">
              <w:rPr>
                <w:rFonts w:ascii="Arial" w:eastAsiaTheme="minorHAnsi" w:hAnsi="Arial" w:cs="Arial"/>
                <w:sz w:val="20"/>
                <w:szCs w:val="20"/>
                <w:lang w:val="et-EE"/>
              </w:rPr>
              <w:lastRenderedPageBreak/>
              <w:t>KrMS § 508</w:t>
            </w:r>
            <w:r w:rsidRPr="00987584">
              <w:rPr>
                <w:rFonts w:ascii="Arial" w:eastAsiaTheme="minorHAnsi" w:hAnsi="Arial" w:cs="Arial"/>
                <w:sz w:val="20"/>
                <w:szCs w:val="20"/>
                <w:vertAlign w:val="superscript"/>
                <w:lang w:val="et-EE"/>
              </w:rPr>
              <w:t>64</w:t>
            </w:r>
            <w:r w:rsidRPr="00987584">
              <w:rPr>
                <w:rFonts w:ascii="Arial" w:eastAsiaTheme="minorHAnsi" w:hAnsi="Arial" w:cs="Arial"/>
                <w:sz w:val="20"/>
                <w:szCs w:val="20"/>
                <w:lang w:val="et-EE"/>
              </w:rPr>
              <w:t xml:space="preserve"> muutmisega seonduvalt on seletuskirjas märgitud, et teatud olukordades nähakse ette võimalus anda järelevalve ja otsuste tegemise pädevus tagasi otsuse teinud riigile. Samas</w:t>
            </w:r>
            <w:r>
              <w:rPr>
                <w:rFonts w:ascii="Arial" w:eastAsiaTheme="minorHAnsi" w:hAnsi="Arial" w:cs="Arial"/>
                <w:sz w:val="20"/>
                <w:szCs w:val="20"/>
                <w:lang w:val="et-EE"/>
              </w:rPr>
              <w:t xml:space="preserve"> </w:t>
            </w:r>
            <w:r w:rsidRPr="00987584">
              <w:rPr>
                <w:rFonts w:ascii="Arial" w:eastAsiaTheme="minorHAnsi" w:hAnsi="Arial" w:cs="Arial"/>
                <w:sz w:val="20"/>
                <w:szCs w:val="20"/>
                <w:lang w:val="et-EE"/>
              </w:rPr>
              <w:t>ei ilmne seletuskirjast, kes antud protsessi korraldab. Seetõttu on prokuratuur seisukohal, et tagasiandmise korraldamiseks tuleb fikseerida ka selle menetluslik kord.</w:t>
            </w:r>
          </w:p>
        </w:tc>
        <w:tc>
          <w:tcPr>
            <w:tcW w:w="3827" w:type="dxa"/>
            <w:tcBorders>
              <w:top w:val="single" w:sz="12" w:space="0" w:color="000000"/>
              <w:left w:val="single" w:sz="12" w:space="0" w:color="000000"/>
              <w:bottom w:val="single" w:sz="12" w:space="0" w:color="000000"/>
              <w:right w:val="single" w:sz="12" w:space="0" w:color="000000"/>
            </w:tcBorders>
          </w:tcPr>
          <w:p w14:paraId="5D5A8AEA" w14:textId="04058B4B" w:rsidR="00513D78" w:rsidRPr="00CF50CD" w:rsidRDefault="00987584" w:rsidP="00A9274E">
            <w:pPr>
              <w:rPr>
                <w:rFonts w:ascii="Arial" w:hAnsi="Arial" w:cs="Arial"/>
                <w:bCs/>
                <w:sz w:val="20"/>
                <w:szCs w:val="20"/>
                <w:lang w:val="et-EE"/>
              </w:rPr>
            </w:pPr>
            <w:r>
              <w:rPr>
                <w:rFonts w:ascii="Arial" w:hAnsi="Arial" w:cs="Arial"/>
                <w:bCs/>
                <w:sz w:val="20"/>
                <w:szCs w:val="20"/>
                <w:lang w:val="et-EE"/>
              </w:rPr>
              <w:t xml:space="preserve">Arvestatud. Eelnõu ja seletuskirja täiendatud. </w:t>
            </w:r>
          </w:p>
        </w:tc>
      </w:tr>
      <w:tr w:rsidR="00987584" w:rsidRPr="00987584" w14:paraId="2DBA69A9"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7AC44B45" w14:textId="0D25807D" w:rsidR="00987584" w:rsidRPr="00987584" w:rsidRDefault="00987584" w:rsidP="00987584">
            <w:pPr>
              <w:spacing w:line="240" w:lineRule="auto"/>
              <w:jc w:val="both"/>
              <w:rPr>
                <w:rFonts w:ascii="Arial" w:eastAsiaTheme="minorHAnsi" w:hAnsi="Arial" w:cs="Arial"/>
                <w:sz w:val="20"/>
                <w:szCs w:val="20"/>
                <w:lang w:val="et-EE"/>
              </w:rPr>
            </w:pPr>
            <w:r w:rsidRPr="00987584">
              <w:rPr>
                <w:rFonts w:ascii="Arial" w:eastAsiaTheme="minorHAnsi" w:hAnsi="Arial" w:cs="Arial"/>
                <w:sz w:val="20"/>
                <w:szCs w:val="20"/>
                <w:lang w:val="et-EE"/>
              </w:rPr>
              <w:t xml:space="preserve">KrMS § 507 lõike 3 muutmise osas leiab prokuratuur, et eraldi regulatsioon võiks olla olukordadeks, kus algselt teeb kohus riigisisese vahistamise ilma Euroopa vahistamismääruse nõuete analüüsita, kuid hiljem selgub, et see on siiski vajalik. Seega võiks seadus sisaldada võimalust tagaselja vahistamise juurde esitada Euroopa </w:t>
            </w:r>
            <w:r>
              <w:rPr>
                <w:rFonts w:ascii="Arial" w:eastAsiaTheme="minorHAnsi" w:hAnsi="Arial" w:cs="Arial"/>
                <w:sz w:val="20"/>
                <w:szCs w:val="20"/>
                <w:lang w:val="et-EE"/>
              </w:rPr>
              <w:t>v</w:t>
            </w:r>
            <w:r w:rsidRPr="00987584">
              <w:rPr>
                <w:rFonts w:ascii="Arial" w:eastAsiaTheme="minorHAnsi" w:hAnsi="Arial" w:cs="Arial"/>
                <w:sz w:val="20"/>
                <w:szCs w:val="20"/>
                <w:lang w:val="et-EE"/>
              </w:rPr>
              <w:t>ahistamismääruse väljastamise taotlus.</w:t>
            </w:r>
          </w:p>
        </w:tc>
        <w:tc>
          <w:tcPr>
            <w:tcW w:w="3827" w:type="dxa"/>
            <w:tcBorders>
              <w:top w:val="single" w:sz="12" w:space="0" w:color="000000"/>
              <w:left w:val="single" w:sz="12" w:space="0" w:color="000000"/>
              <w:bottom w:val="single" w:sz="12" w:space="0" w:color="000000"/>
              <w:right w:val="single" w:sz="12" w:space="0" w:color="000000"/>
            </w:tcBorders>
          </w:tcPr>
          <w:p w14:paraId="5788949F" w14:textId="7AE96FB3" w:rsidR="00987584" w:rsidRDefault="0034440E"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r w:rsidR="001F3F86" w:rsidRPr="00987584" w14:paraId="01DF338C" w14:textId="77777777" w:rsidTr="0071345B">
        <w:tc>
          <w:tcPr>
            <w:tcW w:w="10490" w:type="dxa"/>
            <w:gridSpan w:val="2"/>
            <w:tcBorders>
              <w:top w:val="single" w:sz="12" w:space="0" w:color="000000"/>
              <w:left w:val="single" w:sz="12" w:space="0" w:color="000000"/>
              <w:bottom w:val="single" w:sz="12" w:space="0" w:color="000000"/>
              <w:right w:val="single" w:sz="12" w:space="0" w:color="000000"/>
            </w:tcBorders>
          </w:tcPr>
          <w:p w14:paraId="5917D1F9" w14:textId="3C19E557" w:rsidR="001F3F86" w:rsidRPr="0060634A" w:rsidRDefault="0034440E" w:rsidP="001F3F86">
            <w:pPr>
              <w:jc w:val="center"/>
              <w:rPr>
                <w:rFonts w:ascii="Arial" w:hAnsi="Arial" w:cs="Arial"/>
                <w:b/>
                <w:sz w:val="20"/>
                <w:szCs w:val="20"/>
                <w:lang w:val="et-EE"/>
              </w:rPr>
            </w:pPr>
            <w:r w:rsidRPr="0060634A">
              <w:rPr>
                <w:rFonts w:ascii="Arial" w:hAnsi="Arial" w:cs="Arial"/>
                <w:b/>
                <w:sz w:val="20"/>
                <w:szCs w:val="20"/>
                <w:lang w:val="et-EE"/>
              </w:rPr>
              <w:t>Maksu- ja Tolliamet</w:t>
            </w:r>
          </w:p>
        </w:tc>
      </w:tr>
      <w:tr w:rsidR="00513D78" w:rsidRPr="00987584" w14:paraId="48C2439B"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7ABFBDB1" w14:textId="729658AE" w:rsidR="00513D78" w:rsidRDefault="0060634A" w:rsidP="007342C6">
            <w:pPr>
              <w:spacing w:after="0" w:line="240" w:lineRule="auto"/>
              <w:jc w:val="both"/>
              <w:rPr>
                <w:rFonts w:ascii="Arial" w:hAnsi="Arial" w:cs="Arial"/>
                <w:sz w:val="20"/>
                <w:szCs w:val="20"/>
                <w:lang w:val="et-EE"/>
              </w:rPr>
            </w:pPr>
            <w:r w:rsidRPr="0060634A">
              <w:rPr>
                <w:rFonts w:ascii="Arial" w:hAnsi="Arial" w:cs="Arial"/>
                <w:sz w:val="20"/>
                <w:szCs w:val="20"/>
                <w:lang w:val="et-EE"/>
              </w:rPr>
              <w:t xml:space="preserve">Eelnõu rakendamiseks ja </w:t>
            </w:r>
            <w:r w:rsidR="00C54A69">
              <w:rPr>
                <w:rFonts w:ascii="Arial" w:hAnsi="Arial" w:cs="Arial"/>
                <w:sz w:val="20"/>
                <w:szCs w:val="20"/>
                <w:lang w:val="et-EE"/>
              </w:rPr>
              <w:t>nõuete</w:t>
            </w:r>
            <w:r w:rsidRPr="0060634A">
              <w:rPr>
                <w:rFonts w:ascii="Arial" w:hAnsi="Arial" w:cs="Arial"/>
                <w:sz w:val="20"/>
                <w:szCs w:val="20"/>
                <w:lang w:val="et-EE"/>
              </w:rPr>
              <w:t xml:space="preserve"> haldamiseks on vältimatu KIS-i ja MKR-i vahelise täisautomaatse andmevahetuse loomine X-tee vahendusel. Eelnõu seletuskirjas peavad kajastuma: automaatsed andmevood, unikaalsed viitenumbrid KIS-is, laekumiste automaatne tagasiside MKR-ist KIS-i, automaatne karistuse täidetuks märkimine </w:t>
            </w:r>
            <w:r>
              <w:rPr>
                <w:rFonts w:ascii="Arial" w:hAnsi="Arial" w:cs="Arial"/>
                <w:sz w:val="20"/>
                <w:szCs w:val="20"/>
                <w:lang w:val="et-EE"/>
              </w:rPr>
              <w:t>k</w:t>
            </w:r>
            <w:r w:rsidRPr="0060634A">
              <w:rPr>
                <w:rFonts w:ascii="Arial" w:hAnsi="Arial" w:cs="Arial"/>
                <w:sz w:val="20"/>
                <w:szCs w:val="20"/>
                <w:lang w:val="et-EE"/>
              </w:rPr>
              <w:t xml:space="preserve">aristusregistris ning sundtäitmise automatiseerimine. </w:t>
            </w:r>
          </w:p>
          <w:p w14:paraId="16C8E160" w14:textId="77777777" w:rsidR="00C54A69" w:rsidRDefault="00C54A69" w:rsidP="00C54A69">
            <w:pPr>
              <w:spacing w:after="0" w:line="240" w:lineRule="auto"/>
              <w:jc w:val="both"/>
              <w:rPr>
                <w:rFonts w:ascii="Arial" w:hAnsi="Arial" w:cs="Arial"/>
                <w:sz w:val="20"/>
                <w:szCs w:val="20"/>
                <w:lang w:val="et-EE"/>
              </w:rPr>
            </w:pPr>
          </w:p>
          <w:p w14:paraId="0D5DCF17" w14:textId="77777777" w:rsidR="00C54A69" w:rsidRDefault="00C54A69" w:rsidP="00C54A69">
            <w:pPr>
              <w:spacing w:after="0" w:line="240" w:lineRule="auto"/>
              <w:jc w:val="both"/>
              <w:rPr>
                <w:rFonts w:ascii="Arial" w:hAnsi="Arial" w:cs="Arial"/>
                <w:sz w:val="20"/>
                <w:szCs w:val="20"/>
                <w:lang w:val="et-EE"/>
              </w:rPr>
            </w:pPr>
            <w:r w:rsidRPr="00C54A69">
              <w:rPr>
                <w:rFonts w:ascii="Arial" w:hAnsi="Arial" w:cs="Arial"/>
                <w:sz w:val="20"/>
                <w:szCs w:val="20"/>
                <w:lang w:val="et-EE"/>
              </w:rPr>
              <w:t>Rõhutame, et infosüsteemide liidestatus ei ole käsitletav pelgalt töökorraldusliku mugavusena, vaid see on õigustehniline eeldus, tagamaks riikliku nõudehalduse läbipaistvus, vigade minimeerimine ja menetlustähtaegadest kinnipidamine suurenenud töökoormuse tingimustes.</w:t>
            </w:r>
          </w:p>
          <w:p w14:paraId="081C6861" w14:textId="77777777" w:rsidR="00C54A69" w:rsidRDefault="00C54A69" w:rsidP="00C54A69">
            <w:pPr>
              <w:spacing w:after="0" w:line="240" w:lineRule="auto"/>
              <w:jc w:val="both"/>
              <w:rPr>
                <w:rFonts w:ascii="Arial" w:hAnsi="Arial" w:cs="Arial"/>
                <w:sz w:val="20"/>
                <w:szCs w:val="20"/>
                <w:lang w:val="et-EE"/>
              </w:rPr>
            </w:pPr>
          </w:p>
          <w:p w14:paraId="11F4DA97" w14:textId="77777777" w:rsidR="00C54A69" w:rsidRPr="00C54A69" w:rsidRDefault="00C54A69" w:rsidP="00C54A69">
            <w:pPr>
              <w:spacing w:after="0" w:line="240" w:lineRule="auto"/>
              <w:jc w:val="both"/>
              <w:rPr>
                <w:rFonts w:ascii="Arial" w:hAnsi="Arial" w:cs="Arial"/>
                <w:sz w:val="20"/>
                <w:szCs w:val="20"/>
                <w:lang w:val="et-EE"/>
              </w:rPr>
            </w:pPr>
            <w:r w:rsidRPr="00C54A69">
              <w:rPr>
                <w:rFonts w:ascii="Arial" w:hAnsi="Arial" w:cs="Arial"/>
                <w:sz w:val="20"/>
                <w:szCs w:val="20"/>
                <w:lang w:val="et-EE"/>
              </w:rPr>
              <w:t>MTA nõusolek muudatustega on seotud järgmiste eelduste täitmisega:</w:t>
            </w:r>
          </w:p>
          <w:p w14:paraId="63705712" w14:textId="298B3F8F" w:rsidR="00C54A69" w:rsidRPr="00C54A69" w:rsidRDefault="00C54A69" w:rsidP="00C54A69">
            <w:pPr>
              <w:spacing w:after="0" w:line="240" w:lineRule="auto"/>
              <w:jc w:val="both"/>
              <w:rPr>
                <w:rFonts w:ascii="Arial" w:hAnsi="Arial" w:cs="Arial"/>
                <w:sz w:val="20"/>
                <w:szCs w:val="20"/>
                <w:lang w:val="et-EE"/>
              </w:rPr>
            </w:pPr>
            <w:r w:rsidRPr="00C54A69">
              <w:rPr>
                <w:rFonts w:ascii="Arial" w:hAnsi="Arial" w:cs="Arial"/>
                <w:sz w:val="20"/>
                <w:szCs w:val="20"/>
                <w:lang w:val="et-EE"/>
              </w:rPr>
              <w:t>1. Tagatakse vajalikud eelarvevahendid ja finantseerimine Kohtute Infosüsteemi ja Maksukohustuslaste Registri vahelise automaatse andmevahetusliidese väljaarendamiseks.</w:t>
            </w:r>
          </w:p>
          <w:p w14:paraId="6AC93F86" w14:textId="5FA5B179" w:rsidR="00C54A69" w:rsidRPr="0060634A" w:rsidRDefault="00C54A69" w:rsidP="00C54A69">
            <w:pPr>
              <w:spacing w:after="0" w:line="240" w:lineRule="auto"/>
              <w:jc w:val="both"/>
              <w:rPr>
                <w:rFonts w:ascii="Arial" w:hAnsi="Arial" w:cs="Arial"/>
                <w:sz w:val="20"/>
                <w:szCs w:val="20"/>
                <w:lang w:val="et-EE"/>
              </w:rPr>
            </w:pPr>
            <w:r w:rsidRPr="00C54A69">
              <w:rPr>
                <w:rFonts w:ascii="Arial" w:hAnsi="Arial" w:cs="Arial"/>
                <w:sz w:val="20"/>
                <w:szCs w:val="20"/>
                <w:lang w:val="et-EE"/>
              </w:rPr>
              <w:t>2. Seletuskirjas fikseeritakse selge suund protsesside täielikule automatiseerimisele. On kriitilise tähtsusega, et uue süsteemi loomisel ei kinnistataks seniseid ebaefektiivseid töövõtteid, vaid juurutataks kaasaegne masin-masin suhtlus, mis minimeerib ka inimlikke eksimusi.</w:t>
            </w:r>
          </w:p>
        </w:tc>
        <w:tc>
          <w:tcPr>
            <w:tcW w:w="3827" w:type="dxa"/>
            <w:tcBorders>
              <w:top w:val="single" w:sz="12" w:space="0" w:color="000000"/>
              <w:left w:val="single" w:sz="12" w:space="0" w:color="000000"/>
              <w:bottom w:val="single" w:sz="12" w:space="0" w:color="000000"/>
              <w:right w:val="single" w:sz="12" w:space="0" w:color="000000"/>
            </w:tcBorders>
          </w:tcPr>
          <w:p w14:paraId="71E22AE0" w14:textId="49E4EA47" w:rsidR="00A74B0A" w:rsidRDefault="0060634A" w:rsidP="0060634A">
            <w:pPr>
              <w:jc w:val="both"/>
              <w:rPr>
                <w:rFonts w:ascii="Arial" w:hAnsi="Arial" w:cs="Arial"/>
                <w:bCs/>
                <w:sz w:val="20"/>
                <w:szCs w:val="20"/>
                <w:lang w:val="et-EE"/>
              </w:rPr>
            </w:pPr>
            <w:r w:rsidRPr="0060634A">
              <w:rPr>
                <w:rFonts w:ascii="Arial" w:hAnsi="Arial" w:cs="Arial"/>
                <w:bCs/>
                <w:sz w:val="20"/>
                <w:szCs w:val="20"/>
                <w:lang w:val="et-EE"/>
              </w:rPr>
              <w:t xml:space="preserve">Arvestatud osaliselt. </w:t>
            </w:r>
            <w:r>
              <w:rPr>
                <w:rFonts w:ascii="Arial" w:hAnsi="Arial" w:cs="Arial"/>
                <w:bCs/>
                <w:sz w:val="20"/>
                <w:szCs w:val="20"/>
                <w:lang w:val="et-EE"/>
              </w:rPr>
              <w:t>Seletuskirja täiendatud, aga märgime, et e</w:t>
            </w:r>
            <w:r w:rsidRPr="0060634A">
              <w:rPr>
                <w:rFonts w:ascii="Arial" w:hAnsi="Arial" w:cs="Arial"/>
                <w:bCs/>
                <w:sz w:val="20"/>
                <w:szCs w:val="20"/>
                <w:lang w:val="et-EE"/>
              </w:rPr>
              <w:t>elnõuga kavandatavad muudatused ei kasvata</w:t>
            </w:r>
            <w:r>
              <w:rPr>
                <w:rFonts w:ascii="Arial" w:hAnsi="Arial" w:cs="Arial"/>
                <w:bCs/>
                <w:sz w:val="20"/>
                <w:szCs w:val="20"/>
                <w:lang w:val="et-EE"/>
              </w:rPr>
              <w:t xml:space="preserve"> teistest liikmesriikidest </w:t>
            </w:r>
            <w:r w:rsidRPr="0060634A">
              <w:rPr>
                <w:rFonts w:ascii="Arial" w:hAnsi="Arial" w:cs="Arial"/>
                <w:bCs/>
                <w:sz w:val="20"/>
                <w:szCs w:val="20"/>
                <w:lang w:val="et-EE"/>
              </w:rPr>
              <w:t>sissetulevate nõuete menetlemise mahtu ega</w:t>
            </w:r>
            <w:r>
              <w:rPr>
                <w:rFonts w:ascii="Arial" w:hAnsi="Arial" w:cs="Arial"/>
                <w:bCs/>
                <w:sz w:val="20"/>
                <w:szCs w:val="20"/>
                <w:lang w:val="et-EE"/>
              </w:rPr>
              <w:t xml:space="preserve"> ka muuda sisuliselt nende menetlusprotsessi (välja arvatud kohtus toimuva menetluse kiirendamine) ning seega ei</w:t>
            </w:r>
            <w:r w:rsidRPr="0060634A">
              <w:rPr>
                <w:rFonts w:ascii="Arial" w:hAnsi="Arial" w:cs="Arial"/>
                <w:bCs/>
                <w:sz w:val="20"/>
                <w:szCs w:val="20"/>
                <w:lang w:val="et-EE"/>
              </w:rPr>
              <w:t xml:space="preserve"> loo uut vältimatut vajadust infosüsteemide integratsiooniks. Kuigi KIS-</w:t>
            </w:r>
            <w:r w:rsidRPr="0060634A">
              <w:rPr>
                <w:rFonts w:ascii="Arial" w:hAnsi="Arial" w:cs="Arial"/>
                <w:bCs/>
                <w:sz w:val="20"/>
                <w:szCs w:val="20"/>
                <w:lang w:val="et-EE"/>
              </w:rPr>
              <w:t xml:space="preserve">i ja </w:t>
            </w:r>
            <w:r w:rsidRPr="0060634A">
              <w:rPr>
                <w:rFonts w:ascii="Arial" w:hAnsi="Arial" w:cs="Arial"/>
                <w:bCs/>
                <w:sz w:val="20"/>
                <w:szCs w:val="20"/>
                <w:lang w:val="et-EE"/>
              </w:rPr>
              <w:t>MKR-i vaheline andmevahetuse automatiseerimine o</w:t>
            </w:r>
            <w:r>
              <w:rPr>
                <w:rFonts w:ascii="Arial" w:hAnsi="Arial" w:cs="Arial"/>
                <w:bCs/>
                <w:sz w:val="20"/>
                <w:szCs w:val="20"/>
                <w:lang w:val="et-EE"/>
              </w:rPr>
              <w:t>leks</w:t>
            </w:r>
            <w:r w:rsidRPr="0060634A">
              <w:rPr>
                <w:rFonts w:ascii="Arial" w:hAnsi="Arial" w:cs="Arial"/>
                <w:bCs/>
                <w:sz w:val="20"/>
                <w:szCs w:val="20"/>
                <w:lang w:val="et-EE"/>
              </w:rPr>
              <w:t xml:space="preserve"> nõu</w:t>
            </w:r>
            <w:r>
              <w:rPr>
                <w:rFonts w:ascii="Arial" w:hAnsi="Arial" w:cs="Arial"/>
                <w:bCs/>
                <w:sz w:val="20"/>
                <w:szCs w:val="20"/>
                <w:lang w:val="et-EE"/>
              </w:rPr>
              <w:t>ete</w:t>
            </w:r>
            <w:r w:rsidRPr="0060634A">
              <w:rPr>
                <w:rFonts w:ascii="Arial" w:hAnsi="Arial" w:cs="Arial"/>
                <w:bCs/>
                <w:sz w:val="20"/>
                <w:szCs w:val="20"/>
                <w:lang w:val="et-EE"/>
              </w:rPr>
              <w:t xml:space="preserve"> haldamisel menetlusökonoomia seisukohalt kasulik, ei saa tehnilisi arendusi seada käesoleva eelnõu rakendamise eeltingimuseks</w:t>
            </w:r>
            <w:r>
              <w:rPr>
                <w:rFonts w:ascii="Arial" w:hAnsi="Arial" w:cs="Arial"/>
                <w:bCs/>
                <w:sz w:val="20"/>
                <w:szCs w:val="20"/>
                <w:lang w:val="et-EE"/>
              </w:rPr>
              <w:t>, kuivõrd eelnõuga see protsess ei muutu</w:t>
            </w:r>
            <w:r w:rsidR="00A74B0A">
              <w:rPr>
                <w:rFonts w:ascii="Arial" w:hAnsi="Arial" w:cs="Arial"/>
                <w:bCs/>
                <w:sz w:val="20"/>
                <w:szCs w:val="20"/>
                <w:lang w:val="et-EE"/>
              </w:rPr>
              <w:t>. I</w:t>
            </w:r>
            <w:r>
              <w:rPr>
                <w:rFonts w:ascii="Arial" w:hAnsi="Arial" w:cs="Arial"/>
                <w:bCs/>
                <w:sz w:val="20"/>
                <w:szCs w:val="20"/>
                <w:lang w:val="et-EE"/>
              </w:rPr>
              <w:t>nfosü</w:t>
            </w:r>
            <w:r w:rsidR="00A74B0A">
              <w:rPr>
                <w:rFonts w:ascii="Arial" w:hAnsi="Arial" w:cs="Arial"/>
                <w:bCs/>
                <w:sz w:val="20"/>
                <w:szCs w:val="20"/>
                <w:lang w:val="et-EE"/>
              </w:rPr>
              <w:t>s</w:t>
            </w:r>
            <w:r>
              <w:rPr>
                <w:rFonts w:ascii="Arial" w:hAnsi="Arial" w:cs="Arial"/>
                <w:bCs/>
                <w:sz w:val="20"/>
                <w:szCs w:val="20"/>
                <w:lang w:val="et-EE"/>
              </w:rPr>
              <w:t>teemide arendus on samavõrd vajalik ka</w:t>
            </w:r>
            <w:r w:rsidR="00A74B0A">
              <w:rPr>
                <w:rFonts w:ascii="Arial" w:hAnsi="Arial" w:cs="Arial"/>
                <w:bCs/>
                <w:sz w:val="20"/>
                <w:szCs w:val="20"/>
                <w:lang w:val="et-EE"/>
              </w:rPr>
              <w:t xml:space="preserve"> juba</w:t>
            </w:r>
            <w:r>
              <w:rPr>
                <w:rFonts w:ascii="Arial" w:hAnsi="Arial" w:cs="Arial"/>
                <w:bCs/>
                <w:sz w:val="20"/>
                <w:szCs w:val="20"/>
                <w:lang w:val="et-EE"/>
              </w:rPr>
              <w:t xml:space="preserve"> hetkel kehtiva süsteemi tingimustes</w:t>
            </w:r>
            <w:r w:rsidR="00A74B0A">
              <w:rPr>
                <w:rFonts w:ascii="Arial" w:hAnsi="Arial" w:cs="Arial"/>
                <w:bCs/>
                <w:sz w:val="20"/>
                <w:szCs w:val="20"/>
                <w:lang w:val="et-EE"/>
              </w:rPr>
              <w:t>, nagu oma kirjas ka märgite</w:t>
            </w:r>
            <w:r>
              <w:rPr>
                <w:rFonts w:ascii="Arial" w:hAnsi="Arial" w:cs="Arial"/>
                <w:bCs/>
                <w:sz w:val="20"/>
                <w:szCs w:val="20"/>
                <w:lang w:val="et-EE"/>
              </w:rPr>
              <w:t xml:space="preserve">. </w:t>
            </w:r>
          </w:p>
          <w:p w14:paraId="0A857DDB" w14:textId="64E48654" w:rsidR="00A74B0A" w:rsidRDefault="00A74B0A" w:rsidP="0060634A">
            <w:pPr>
              <w:jc w:val="both"/>
              <w:rPr>
                <w:rFonts w:ascii="Arial" w:hAnsi="Arial" w:cs="Arial"/>
                <w:bCs/>
                <w:sz w:val="20"/>
                <w:szCs w:val="20"/>
                <w:lang w:val="et-EE"/>
              </w:rPr>
            </w:pPr>
            <w:r>
              <w:rPr>
                <w:rFonts w:ascii="Arial" w:hAnsi="Arial" w:cs="Arial"/>
                <w:bCs/>
                <w:sz w:val="20"/>
                <w:szCs w:val="20"/>
                <w:lang w:val="et-EE"/>
              </w:rPr>
              <w:t xml:space="preserve">Seletuskirjas märgitud hinnang 2000 sissetuleva taotluse kohta lähtub senisel praktikal, aga kuivõrd suur osa karistustest/trahvidest tasutakse menetluse ajal otse taotlevale riigile, teeb kohus nendes tunnustamata jätmise määruse, mistõttu need ei jõua MTAsse täitmise haldamiseks. </w:t>
            </w:r>
          </w:p>
          <w:p w14:paraId="2B875266" w14:textId="4947EA97" w:rsidR="00513D78" w:rsidRDefault="00A74B0A" w:rsidP="0060634A">
            <w:pPr>
              <w:jc w:val="both"/>
              <w:rPr>
                <w:rFonts w:ascii="Arial" w:hAnsi="Arial" w:cs="Arial"/>
                <w:bCs/>
                <w:sz w:val="20"/>
                <w:szCs w:val="20"/>
                <w:lang w:val="et-EE"/>
              </w:rPr>
            </w:pPr>
            <w:r>
              <w:rPr>
                <w:rFonts w:ascii="Arial" w:hAnsi="Arial" w:cs="Arial"/>
                <w:bCs/>
                <w:sz w:val="20"/>
                <w:szCs w:val="20"/>
                <w:lang w:val="et-EE"/>
              </w:rPr>
              <w:t>Kinnitame, et t</w:t>
            </w:r>
            <w:r w:rsidR="0060634A">
              <w:rPr>
                <w:rFonts w:ascii="Arial" w:hAnsi="Arial" w:cs="Arial"/>
                <w:bCs/>
                <w:sz w:val="20"/>
                <w:szCs w:val="20"/>
                <w:lang w:val="et-EE"/>
              </w:rPr>
              <w:t>äisdigitaalne andmevahetus ka teiste infosüsteemidega on E-toimiku ja KISi arendusel seatud eesmärgiks</w:t>
            </w:r>
            <w:r>
              <w:rPr>
                <w:rFonts w:ascii="Arial" w:hAnsi="Arial" w:cs="Arial"/>
                <w:bCs/>
                <w:sz w:val="20"/>
                <w:szCs w:val="20"/>
                <w:lang w:val="et-EE"/>
              </w:rPr>
              <w:t xml:space="preserve">, kuid samas ei ole täpselt selge, kui kiiresti selle eesmärgini jõutakse. </w:t>
            </w:r>
          </w:p>
          <w:p w14:paraId="4596E454" w14:textId="006A649D" w:rsidR="00A74B0A" w:rsidRPr="0060634A" w:rsidRDefault="00A74B0A" w:rsidP="0060634A">
            <w:pPr>
              <w:jc w:val="both"/>
              <w:rPr>
                <w:rFonts w:ascii="Arial" w:hAnsi="Arial" w:cs="Arial"/>
                <w:bCs/>
                <w:sz w:val="20"/>
                <w:szCs w:val="20"/>
                <w:lang w:val="et-EE"/>
              </w:rPr>
            </w:pPr>
            <w:r>
              <w:rPr>
                <w:rFonts w:ascii="Arial" w:hAnsi="Arial" w:cs="Arial"/>
                <w:bCs/>
                <w:sz w:val="20"/>
                <w:szCs w:val="20"/>
                <w:lang w:val="et-EE"/>
              </w:rPr>
              <w:t xml:space="preserve">Täiendavalt märgime, et </w:t>
            </w:r>
            <w:r w:rsidR="00C54A69">
              <w:rPr>
                <w:rFonts w:ascii="Arial" w:hAnsi="Arial" w:cs="Arial"/>
                <w:bCs/>
                <w:sz w:val="20"/>
                <w:szCs w:val="20"/>
                <w:lang w:val="et-EE"/>
              </w:rPr>
              <w:t xml:space="preserve">karistuste täitmise info edastamine </w:t>
            </w:r>
            <w:r>
              <w:rPr>
                <w:rFonts w:ascii="Arial" w:hAnsi="Arial" w:cs="Arial"/>
                <w:bCs/>
                <w:sz w:val="20"/>
                <w:szCs w:val="20"/>
                <w:lang w:val="et-EE"/>
              </w:rPr>
              <w:t>karistusregistri</w:t>
            </w:r>
            <w:r w:rsidR="00C54A69">
              <w:rPr>
                <w:rFonts w:ascii="Arial" w:hAnsi="Arial" w:cs="Arial"/>
                <w:bCs/>
                <w:sz w:val="20"/>
                <w:szCs w:val="20"/>
                <w:lang w:val="et-EE"/>
              </w:rPr>
              <w:t>le</w:t>
            </w:r>
            <w:r>
              <w:rPr>
                <w:rFonts w:ascii="Arial" w:hAnsi="Arial" w:cs="Arial"/>
                <w:bCs/>
                <w:sz w:val="20"/>
                <w:szCs w:val="20"/>
                <w:lang w:val="et-EE"/>
              </w:rPr>
              <w:t xml:space="preserve"> ei ole välisriigi rahaliste </w:t>
            </w:r>
            <w:r>
              <w:rPr>
                <w:rFonts w:ascii="Arial" w:hAnsi="Arial" w:cs="Arial"/>
                <w:bCs/>
                <w:sz w:val="20"/>
                <w:szCs w:val="20"/>
                <w:lang w:val="et-EE"/>
              </w:rPr>
              <w:lastRenderedPageBreak/>
              <w:t xml:space="preserve">karistuste ja rahatrahvide tunnustamise puhul vajalik, kuivõrd välisriigi karistuste täitmise osas ei pea arvestust Eesti, vaid vastav välisriik, keda Eesti karistuse täitmisest informeerib. </w:t>
            </w:r>
          </w:p>
        </w:tc>
      </w:tr>
      <w:tr w:rsidR="00513D78" w:rsidRPr="00987584" w14:paraId="20437431"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2053EF74" w14:textId="77777777" w:rsidR="00C54A69" w:rsidRPr="00C54A69" w:rsidRDefault="00C54A69" w:rsidP="003E3774">
            <w:pPr>
              <w:spacing w:after="0" w:line="240" w:lineRule="auto"/>
              <w:jc w:val="both"/>
              <w:rPr>
                <w:rFonts w:ascii="Arial" w:eastAsia="Times New Roman" w:hAnsi="Arial" w:cs="Arial"/>
                <w:sz w:val="20"/>
                <w:szCs w:val="20"/>
                <w:lang w:val="et-EE"/>
              </w:rPr>
            </w:pPr>
            <w:r w:rsidRPr="00C54A69">
              <w:rPr>
                <w:rFonts w:ascii="Arial" w:eastAsia="Times New Roman" w:hAnsi="Arial" w:cs="Arial"/>
                <w:sz w:val="20"/>
                <w:szCs w:val="20"/>
                <w:lang w:val="et-EE"/>
              </w:rPr>
              <w:lastRenderedPageBreak/>
              <w:t xml:space="preserve">KrMS § 508⁷² lg 6 kohaselt on Maksu- ja Tolliamet kohustatud teavitama taotlevat riiki rahalise karistuse või rahatrahvi tasumisest. Õigusselguse ja haldussäästlikkuse huvides peame vajalikuks täpsustada teavitamiskohustuse ulatust. </w:t>
            </w:r>
          </w:p>
          <w:p w14:paraId="7ACC23CA" w14:textId="77777777" w:rsidR="00C54A69" w:rsidRPr="00C54A69" w:rsidRDefault="00C54A69" w:rsidP="00C54A69">
            <w:pPr>
              <w:spacing w:after="0" w:line="240" w:lineRule="auto"/>
              <w:ind w:left="360"/>
              <w:jc w:val="both"/>
              <w:rPr>
                <w:rFonts w:ascii="Arial" w:eastAsia="Times New Roman" w:hAnsi="Arial" w:cs="Arial"/>
                <w:sz w:val="20"/>
                <w:szCs w:val="20"/>
                <w:lang w:val="et-EE"/>
              </w:rPr>
            </w:pPr>
          </w:p>
          <w:p w14:paraId="0165875B" w14:textId="5490415B" w:rsidR="00513D78" w:rsidRPr="003E3774" w:rsidRDefault="00C54A69" w:rsidP="003E3774">
            <w:pPr>
              <w:spacing w:after="0" w:line="240" w:lineRule="auto"/>
              <w:jc w:val="both"/>
              <w:rPr>
                <w:rFonts w:ascii="Arial" w:eastAsia="Times New Roman" w:hAnsi="Arial" w:cs="Arial"/>
                <w:sz w:val="20"/>
                <w:szCs w:val="20"/>
                <w:lang w:val="et-EE"/>
              </w:rPr>
            </w:pPr>
            <w:r w:rsidRPr="00C54A69">
              <w:rPr>
                <w:rFonts w:ascii="Arial" w:eastAsia="Times New Roman" w:hAnsi="Arial" w:cs="Arial"/>
                <w:sz w:val="20"/>
                <w:szCs w:val="20"/>
                <w:lang w:val="et-EE"/>
              </w:rPr>
              <w:t>MTA asub seisukohale, et teavitamine peab toimuma vaid nõude täieliku tasumise korral.</w:t>
            </w:r>
            <w:r w:rsidRPr="00C54A69">
              <w:rPr>
                <w:rFonts w:ascii="Arial" w:eastAsia="Times New Roman" w:hAnsi="Arial" w:cs="Arial"/>
                <w:sz w:val="20"/>
                <w:szCs w:val="20"/>
                <w:lang w:val="et-EE"/>
              </w:rPr>
              <w:t xml:space="preserve"> </w:t>
            </w:r>
            <w:r w:rsidRPr="00C54A69">
              <w:rPr>
                <w:rFonts w:ascii="Arial" w:eastAsia="Times New Roman" w:hAnsi="Arial" w:cs="Arial"/>
                <w:sz w:val="20"/>
                <w:szCs w:val="20"/>
                <w:lang w:val="et-EE"/>
              </w:rPr>
              <w:t>Osaliste laekumiste või vähese tähtsusega summade manuaalne teavitamine tekitaks põhjendamatut ja ebaotstarbekat halduskoormust, andmata rahvusvahelisele koostööle sisulist lisaväärtust. Teeme ettepaneku täiendada sätet viisiga, mis piiritleks teavitamiskohustuse nõude lõpliku täitmisega.</w:t>
            </w:r>
          </w:p>
        </w:tc>
        <w:tc>
          <w:tcPr>
            <w:tcW w:w="3827" w:type="dxa"/>
            <w:tcBorders>
              <w:top w:val="single" w:sz="12" w:space="0" w:color="000000"/>
              <w:left w:val="single" w:sz="12" w:space="0" w:color="000000"/>
              <w:bottom w:val="single" w:sz="12" w:space="0" w:color="000000"/>
              <w:right w:val="single" w:sz="12" w:space="0" w:color="000000"/>
            </w:tcBorders>
          </w:tcPr>
          <w:p w14:paraId="2F06504D" w14:textId="60422A83" w:rsidR="00513D78" w:rsidRPr="00CF50CD" w:rsidRDefault="00C54A69"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r w:rsidR="00CF50CD" w:rsidRPr="00987584" w14:paraId="66052066" w14:textId="77777777" w:rsidTr="00982DB4">
        <w:tc>
          <w:tcPr>
            <w:tcW w:w="10490" w:type="dxa"/>
            <w:gridSpan w:val="2"/>
            <w:tcBorders>
              <w:top w:val="single" w:sz="12" w:space="0" w:color="000000"/>
              <w:left w:val="single" w:sz="12" w:space="0" w:color="000000"/>
              <w:bottom w:val="single" w:sz="12" w:space="0" w:color="000000"/>
              <w:right w:val="single" w:sz="12" w:space="0" w:color="000000"/>
            </w:tcBorders>
          </w:tcPr>
          <w:p w14:paraId="2A5A51E9" w14:textId="29AB9E3C" w:rsidR="00CF50CD" w:rsidRPr="003E3774" w:rsidRDefault="003E3774" w:rsidP="00CF50CD">
            <w:pPr>
              <w:jc w:val="center"/>
              <w:rPr>
                <w:rFonts w:ascii="Arial" w:hAnsi="Arial" w:cs="Arial"/>
                <w:b/>
                <w:sz w:val="20"/>
                <w:szCs w:val="20"/>
                <w:lang w:val="et-EE"/>
              </w:rPr>
            </w:pPr>
            <w:r w:rsidRPr="003E3774">
              <w:rPr>
                <w:rFonts w:ascii="Arial" w:hAnsi="Arial" w:cs="Arial"/>
                <w:b/>
                <w:sz w:val="20"/>
                <w:szCs w:val="20"/>
                <w:lang w:val="et-EE"/>
              </w:rPr>
              <w:t>Tööinspektsioon</w:t>
            </w:r>
          </w:p>
        </w:tc>
      </w:tr>
      <w:tr w:rsidR="00513D78" w:rsidRPr="00987584" w14:paraId="0C2CA4DF"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6DB8D134" w14:textId="0461457F" w:rsidR="00513D78" w:rsidRPr="00CF50CD" w:rsidRDefault="003E3774" w:rsidP="003E3774">
            <w:pPr>
              <w:rPr>
                <w:rFonts w:ascii="Arial" w:hAnsi="Arial" w:cs="Arial"/>
                <w:bCs/>
                <w:sz w:val="20"/>
                <w:szCs w:val="20"/>
                <w:lang w:val="et-EE"/>
              </w:rPr>
            </w:pPr>
            <w:r w:rsidRPr="003E3774">
              <w:rPr>
                <w:rFonts w:ascii="Arial" w:hAnsi="Arial" w:cs="Arial"/>
                <w:bCs/>
                <w:sz w:val="20"/>
                <w:szCs w:val="20"/>
                <w:lang w:val="et-EE"/>
              </w:rPr>
              <w:t>Seaduse kohaldaja vaates parema õigusselguse loomiseks, palume kaaluda seaduse 19. peatükki 8. jaos 14. jaotise</w:t>
            </w:r>
            <w:r>
              <w:rPr>
                <w:rFonts w:ascii="Arial" w:hAnsi="Arial" w:cs="Arial"/>
                <w:bCs/>
                <w:sz w:val="20"/>
                <w:szCs w:val="20"/>
                <w:lang w:val="et-EE"/>
              </w:rPr>
              <w:t xml:space="preserve"> </w:t>
            </w:r>
            <w:r w:rsidRPr="003E3774">
              <w:rPr>
                <w:rFonts w:ascii="Arial" w:hAnsi="Arial" w:cs="Arial"/>
                <w:bCs/>
                <w:sz w:val="20"/>
                <w:szCs w:val="20"/>
                <w:lang w:val="et-EE"/>
              </w:rPr>
              <w:t>§-i 489</w:t>
            </w:r>
            <w:r w:rsidRPr="003E3774">
              <w:rPr>
                <w:rFonts w:ascii="Arial" w:hAnsi="Arial" w:cs="Arial"/>
                <w:bCs/>
                <w:sz w:val="20"/>
                <w:szCs w:val="20"/>
                <w:vertAlign w:val="superscript"/>
                <w:lang w:val="et-EE"/>
              </w:rPr>
              <w:t>57</w:t>
            </w:r>
            <w:r w:rsidRPr="003E3774">
              <w:rPr>
                <w:rFonts w:ascii="Arial" w:hAnsi="Arial" w:cs="Arial"/>
                <w:bCs/>
                <w:sz w:val="20"/>
                <w:szCs w:val="20"/>
                <w:lang w:val="et-EE"/>
              </w:rPr>
              <w:t xml:space="preserve"> sõnastuse täiendamist informatsiooniga, mis hetkest alates hakkab kulgema kaebuse lahendamise aeg (nt kaebuse esitamisest).</w:t>
            </w:r>
          </w:p>
        </w:tc>
        <w:tc>
          <w:tcPr>
            <w:tcW w:w="3827" w:type="dxa"/>
            <w:tcBorders>
              <w:top w:val="single" w:sz="12" w:space="0" w:color="000000"/>
              <w:left w:val="single" w:sz="12" w:space="0" w:color="000000"/>
              <w:bottom w:val="single" w:sz="12" w:space="0" w:color="000000"/>
              <w:right w:val="single" w:sz="12" w:space="0" w:color="000000"/>
            </w:tcBorders>
          </w:tcPr>
          <w:p w14:paraId="663EA429" w14:textId="3E319B06" w:rsidR="00513D78" w:rsidRPr="00CF50CD" w:rsidRDefault="003E3774"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r w:rsidR="001F3F86" w:rsidRPr="00CF50CD" w14:paraId="4547FB4E" w14:textId="77777777" w:rsidTr="00585D83">
        <w:tc>
          <w:tcPr>
            <w:tcW w:w="10490" w:type="dxa"/>
            <w:gridSpan w:val="2"/>
            <w:tcBorders>
              <w:top w:val="single" w:sz="12" w:space="0" w:color="000000"/>
              <w:left w:val="single" w:sz="12" w:space="0" w:color="000000"/>
              <w:bottom w:val="single" w:sz="12" w:space="0" w:color="000000"/>
              <w:right w:val="single" w:sz="12" w:space="0" w:color="000000"/>
            </w:tcBorders>
          </w:tcPr>
          <w:p w14:paraId="073CDF1C" w14:textId="1F009A4B" w:rsidR="001F3F86" w:rsidRPr="00CF50CD" w:rsidRDefault="003E3774" w:rsidP="001F3F86">
            <w:pPr>
              <w:jc w:val="center"/>
              <w:rPr>
                <w:rFonts w:ascii="Arial" w:hAnsi="Arial" w:cs="Arial"/>
                <w:bCs/>
                <w:sz w:val="20"/>
                <w:szCs w:val="20"/>
                <w:lang w:val="et-EE"/>
              </w:rPr>
            </w:pPr>
            <w:r>
              <w:rPr>
                <w:rFonts w:ascii="Arial" w:hAnsi="Arial" w:cs="Arial"/>
                <w:b/>
                <w:sz w:val="20"/>
                <w:szCs w:val="20"/>
                <w:lang w:val="et-EE"/>
              </w:rPr>
              <w:t>Advokatuur</w:t>
            </w:r>
          </w:p>
        </w:tc>
      </w:tr>
      <w:tr w:rsidR="00513D78" w:rsidRPr="00CF50CD" w14:paraId="1C62797C" w14:textId="77777777" w:rsidTr="008B393F">
        <w:tc>
          <w:tcPr>
            <w:tcW w:w="6663" w:type="dxa"/>
            <w:tcBorders>
              <w:top w:val="single" w:sz="12" w:space="0" w:color="000000"/>
              <w:left w:val="single" w:sz="12" w:space="0" w:color="000000"/>
              <w:bottom w:val="single" w:sz="12" w:space="0" w:color="000000"/>
              <w:right w:val="single" w:sz="12" w:space="0" w:color="000000"/>
            </w:tcBorders>
          </w:tcPr>
          <w:p w14:paraId="7580B9C5" w14:textId="44AE4466" w:rsidR="00513D78" w:rsidRPr="003E3774" w:rsidRDefault="003E3774" w:rsidP="003E3774">
            <w:pPr>
              <w:jc w:val="both"/>
              <w:rPr>
                <w:rFonts w:ascii="Arial" w:hAnsi="Arial" w:cs="Arial"/>
                <w:bCs/>
                <w:sz w:val="20"/>
                <w:szCs w:val="20"/>
                <w:lang w:val="et-EE"/>
              </w:rPr>
            </w:pPr>
            <w:r w:rsidRPr="003E3774">
              <w:rPr>
                <w:rFonts w:ascii="Arial" w:hAnsi="Arial" w:cs="Arial"/>
                <w:bCs/>
                <w:sz w:val="20"/>
                <w:szCs w:val="20"/>
                <w:lang w:val="et-EE"/>
              </w:rPr>
              <w:t>KrMS § 489</w:t>
            </w:r>
            <w:r w:rsidRPr="003E3774">
              <w:rPr>
                <w:rFonts w:ascii="Arial" w:hAnsi="Arial" w:cs="Arial"/>
                <w:bCs/>
                <w:sz w:val="20"/>
                <w:szCs w:val="20"/>
                <w:vertAlign w:val="superscript"/>
                <w:lang w:val="et-EE"/>
              </w:rPr>
              <w:t>57</w:t>
            </w:r>
            <w:r w:rsidRPr="003E3774">
              <w:rPr>
                <w:rFonts w:ascii="Arial" w:hAnsi="Arial" w:cs="Arial"/>
                <w:bCs/>
                <w:sz w:val="20"/>
                <w:szCs w:val="20"/>
                <w:lang w:val="et-EE"/>
              </w:rPr>
              <w:t> lg-s 3 ei ole kaebetähtaja algus välja toodud.</w:t>
            </w:r>
            <w:r w:rsidRPr="003E3774">
              <w:rPr>
                <w:rFonts w:ascii="Arial" w:hAnsi="Arial" w:cs="Arial"/>
                <w:b/>
                <w:bCs/>
                <w:sz w:val="20"/>
                <w:szCs w:val="20"/>
                <w:lang w:val="et-EE"/>
              </w:rPr>
              <w:t> </w:t>
            </w:r>
            <w:r w:rsidRPr="003E3774">
              <w:rPr>
                <w:rFonts w:ascii="Arial" w:hAnsi="Arial" w:cs="Arial"/>
                <w:bCs/>
                <w:sz w:val="20"/>
                <w:szCs w:val="20"/>
                <w:lang w:val="et-EE"/>
              </w:rPr>
              <w:t>Eelnõu ütleb, et kahtlustatav, süüdistatav ja kannatanu võivad esitada kaebuse „15 päeva jooksul”, kuid ei ütle, millest tähtaeg jooksma hakkab. Seletuskiri küll ütleb, et tähtaeg on 15 päeva „otsuse kättesaamisest”, kuid kogu oluline teave peaks olema kõigile kättesaadav seadustekstis, ilma et oleks vajadus minna ja otsida seda seletuskirjast. Sama probleem esineb ka lõikes 4.</w:t>
            </w:r>
          </w:p>
        </w:tc>
        <w:tc>
          <w:tcPr>
            <w:tcW w:w="3827" w:type="dxa"/>
            <w:tcBorders>
              <w:top w:val="single" w:sz="12" w:space="0" w:color="000000"/>
              <w:left w:val="single" w:sz="12" w:space="0" w:color="000000"/>
              <w:bottom w:val="single" w:sz="12" w:space="0" w:color="000000"/>
              <w:right w:val="single" w:sz="12" w:space="0" w:color="000000"/>
            </w:tcBorders>
          </w:tcPr>
          <w:p w14:paraId="6663C3FC" w14:textId="2493C8EF" w:rsidR="00513D78" w:rsidRPr="00CF50CD" w:rsidRDefault="003E3774" w:rsidP="00A9274E">
            <w:pPr>
              <w:rPr>
                <w:rFonts w:ascii="Arial" w:hAnsi="Arial" w:cs="Arial"/>
                <w:bCs/>
                <w:sz w:val="20"/>
                <w:szCs w:val="20"/>
                <w:lang w:val="et-EE"/>
              </w:rPr>
            </w:pPr>
            <w:r>
              <w:rPr>
                <w:rFonts w:ascii="Arial" w:hAnsi="Arial" w:cs="Arial"/>
                <w:bCs/>
                <w:sz w:val="20"/>
                <w:szCs w:val="20"/>
                <w:lang w:val="et-EE"/>
              </w:rPr>
              <w:t>Arvestatud. Eelnõu ja seletuskirja täiendatud.</w:t>
            </w:r>
          </w:p>
        </w:tc>
      </w:tr>
    </w:tbl>
    <w:p w14:paraId="477EA54D" w14:textId="77777777" w:rsidR="00FA53D3" w:rsidRPr="00CF50CD" w:rsidRDefault="00FA53D3" w:rsidP="00D62832">
      <w:pPr>
        <w:rPr>
          <w:rFonts w:ascii="Arial" w:hAnsi="Arial" w:cs="Arial"/>
          <w:sz w:val="20"/>
          <w:szCs w:val="20"/>
          <w:lang w:val="et-EE"/>
        </w:rPr>
      </w:pPr>
    </w:p>
    <w:sectPr w:rsidR="00FA53D3" w:rsidRPr="00CF50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FFC7" w14:textId="77777777" w:rsidR="00A118F7" w:rsidRDefault="00A118F7" w:rsidP="003C1E2D">
      <w:pPr>
        <w:spacing w:after="0" w:line="240" w:lineRule="auto"/>
      </w:pPr>
      <w:r>
        <w:separator/>
      </w:r>
    </w:p>
  </w:endnote>
  <w:endnote w:type="continuationSeparator" w:id="0">
    <w:p w14:paraId="2C906F94" w14:textId="77777777" w:rsidR="00A118F7" w:rsidRDefault="00A118F7" w:rsidP="003C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A2B3" w14:textId="77777777" w:rsidR="00A118F7" w:rsidRDefault="00A118F7" w:rsidP="003C1E2D">
      <w:pPr>
        <w:spacing w:after="0" w:line="240" w:lineRule="auto"/>
      </w:pPr>
      <w:r>
        <w:separator/>
      </w:r>
    </w:p>
  </w:footnote>
  <w:footnote w:type="continuationSeparator" w:id="0">
    <w:p w14:paraId="6A8E516C" w14:textId="77777777" w:rsidR="00A118F7" w:rsidRDefault="00A118F7" w:rsidP="003C1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078"/>
    <w:multiLevelType w:val="hybridMultilevel"/>
    <w:tmpl w:val="FA7E428E"/>
    <w:lvl w:ilvl="0" w:tplc="A6709C76">
      <w:start w:val="1"/>
      <w:numFmt w:val="decimal"/>
      <w:lvlText w:val="%1."/>
      <w:lvlJc w:val="left"/>
      <w:pPr>
        <w:ind w:left="720" w:hanging="360"/>
      </w:pPr>
      <w:rPr>
        <w:b w:val="0"/>
        <w:b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3126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78"/>
    <w:rsid w:val="00011D2E"/>
    <w:rsid w:val="0002117D"/>
    <w:rsid w:val="00025B15"/>
    <w:rsid w:val="00026625"/>
    <w:rsid w:val="0007446A"/>
    <w:rsid w:val="000A6DF8"/>
    <w:rsid w:val="000C0693"/>
    <w:rsid w:val="000C1678"/>
    <w:rsid w:val="000D2C23"/>
    <w:rsid w:val="000E52D2"/>
    <w:rsid w:val="00102201"/>
    <w:rsid w:val="00102C9F"/>
    <w:rsid w:val="001042E9"/>
    <w:rsid w:val="0011502E"/>
    <w:rsid w:val="0011572A"/>
    <w:rsid w:val="00142B91"/>
    <w:rsid w:val="00145254"/>
    <w:rsid w:val="001472F6"/>
    <w:rsid w:val="001822D9"/>
    <w:rsid w:val="00197876"/>
    <w:rsid w:val="001A0A4B"/>
    <w:rsid w:val="001C39A8"/>
    <w:rsid w:val="001D285B"/>
    <w:rsid w:val="001F3CC0"/>
    <w:rsid w:val="001F3F86"/>
    <w:rsid w:val="00224E40"/>
    <w:rsid w:val="0023164B"/>
    <w:rsid w:val="002512CB"/>
    <w:rsid w:val="002519EA"/>
    <w:rsid w:val="00297E24"/>
    <w:rsid w:val="002D4AFE"/>
    <w:rsid w:val="003121C2"/>
    <w:rsid w:val="00315AE3"/>
    <w:rsid w:val="00335802"/>
    <w:rsid w:val="0034392D"/>
    <w:rsid w:val="0034440E"/>
    <w:rsid w:val="003445D1"/>
    <w:rsid w:val="00355F6A"/>
    <w:rsid w:val="00371112"/>
    <w:rsid w:val="003A275F"/>
    <w:rsid w:val="003B6007"/>
    <w:rsid w:val="003C0DD3"/>
    <w:rsid w:val="003C1E2D"/>
    <w:rsid w:val="003C6BF6"/>
    <w:rsid w:val="003D0E30"/>
    <w:rsid w:val="003D4BAE"/>
    <w:rsid w:val="003E3774"/>
    <w:rsid w:val="003E7275"/>
    <w:rsid w:val="00400522"/>
    <w:rsid w:val="00430C02"/>
    <w:rsid w:val="00453ABF"/>
    <w:rsid w:val="0048787E"/>
    <w:rsid w:val="00494A8B"/>
    <w:rsid w:val="004972A6"/>
    <w:rsid w:val="004B0DCE"/>
    <w:rsid w:val="004B15C1"/>
    <w:rsid w:val="004B19F3"/>
    <w:rsid w:val="004C1BE1"/>
    <w:rsid w:val="004D43C3"/>
    <w:rsid w:val="004F7D17"/>
    <w:rsid w:val="004F7D97"/>
    <w:rsid w:val="00513D78"/>
    <w:rsid w:val="00544B04"/>
    <w:rsid w:val="00557959"/>
    <w:rsid w:val="00582EA2"/>
    <w:rsid w:val="005A7275"/>
    <w:rsid w:val="005F0E27"/>
    <w:rsid w:val="00600533"/>
    <w:rsid w:val="006054A3"/>
    <w:rsid w:val="0060634A"/>
    <w:rsid w:val="00620FEF"/>
    <w:rsid w:val="00624D76"/>
    <w:rsid w:val="00635B36"/>
    <w:rsid w:val="0067119F"/>
    <w:rsid w:val="00676DA9"/>
    <w:rsid w:val="00685A20"/>
    <w:rsid w:val="00690188"/>
    <w:rsid w:val="00691B8A"/>
    <w:rsid w:val="006C4B6B"/>
    <w:rsid w:val="006D3DCE"/>
    <w:rsid w:val="006E58AF"/>
    <w:rsid w:val="006F1A28"/>
    <w:rsid w:val="00710916"/>
    <w:rsid w:val="007145CD"/>
    <w:rsid w:val="007342C6"/>
    <w:rsid w:val="00737E3F"/>
    <w:rsid w:val="00750BB6"/>
    <w:rsid w:val="00755038"/>
    <w:rsid w:val="00756B3C"/>
    <w:rsid w:val="0076060D"/>
    <w:rsid w:val="00780D70"/>
    <w:rsid w:val="00785F2F"/>
    <w:rsid w:val="007A46B8"/>
    <w:rsid w:val="007A69E4"/>
    <w:rsid w:val="007B3050"/>
    <w:rsid w:val="007B751E"/>
    <w:rsid w:val="008101A9"/>
    <w:rsid w:val="008213D5"/>
    <w:rsid w:val="00836AAE"/>
    <w:rsid w:val="00853329"/>
    <w:rsid w:val="00882885"/>
    <w:rsid w:val="00892C5A"/>
    <w:rsid w:val="00893520"/>
    <w:rsid w:val="00894A6E"/>
    <w:rsid w:val="008A138F"/>
    <w:rsid w:val="008B393F"/>
    <w:rsid w:val="008E108D"/>
    <w:rsid w:val="008E21A8"/>
    <w:rsid w:val="008E493F"/>
    <w:rsid w:val="008E62C0"/>
    <w:rsid w:val="009054D1"/>
    <w:rsid w:val="00916BEA"/>
    <w:rsid w:val="00917E3C"/>
    <w:rsid w:val="00920EA2"/>
    <w:rsid w:val="00937FA1"/>
    <w:rsid w:val="00951986"/>
    <w:rsid w:val="00975506"/>
    <w:rsid w:val="00987584"/>
    <w:rsid w:val="00990944"/>
    <w:rsid w:val="009A08F3"/>
    <w:rsid w:val="009A4FF7"/>
    <w:rsid w:val="009B4680"/>
    <w:rsid w:val="009C03B4"/>
    <w:rsid w:val="009D4C4D"/>
    <w:rsid w:val="00A113C4"/>
    <w:rsid w:val="00A118F7"/>
    <w:rsid w:val="00A20430"/>
    <w:rsid w:val="00A24B43"/>
    <w:rsid w:val="00A35AD8"/>
    <w:rsid w:val="00A40D4C"/>
    <w:rsid w:val="00A46445"/>
    <w:rsid w:val="00A55314"/>
    <w:rsid w:val="00A749FA"/>
    <w:rsid w:val="00A74B0A"/>
    <w:rsid w:val="00A834AB"/>
    <w:rsid w:val="00A939D9"/>
    <w:rsid w:val="00AA32A0"/>
    <w:rsid w:val="00AB6036"/>
    <w:rsid w:val="00AE3F38"/>
    <w:rsid w:val="00B00FDD"/>
    <w:rsid w:val="00B0476D"/>
    <w:rsid w:val="00B374D1"/>
    <w:rsid w:val="00B4659D"/>
    <w:rsid w:val="00B72024"/>
    <w:rsid w:val="00B825DF"/>
    <w:rsid w:val="00BA095C"/>
    <w:rsid w:val="00BB55DA"/>
    <w:rsid w:val="00BC761D"/>
    <w:rsid w:val="00BD09C5"/>
    <w:rsid w:val="00BD0B2C"/>
    <w:rsid w:val="00BE34EF"/>
    <w:rsid w:val="00BF1153"/>
    <w:rsid w:val="00BF6BBA"/>
    <w:rsid w:val="00BF7DC7"/>
    <w:rsid w:val="00C06887"/>
    <w:rsid w:val="00C07EA4"/>
    <w:rsid w:val="00C401E2"/>
    <w:rsid w:val="00C42A0D"/>
    <w:rsid w:val="00C477C9"/>
    <w:rsid w:val="00C54A69"/>
    <w:rsid w:val="00C66BF7"/>
    <w:rsid w:val="00C762DA"/>
    <w:rsid w:val="00C77AA7"/>
    <w:rsid w:val="00C83F53"/>
    <w:rsid w:val="00CA54B0"/>
    <w:rsid w:val="00CD28E8"/>
    <w:rsid w:val="00CE3D12"/>
    <w:rsid w:val="00CE6B02"/>
    <w:rsid w:val="00CF50CD"/>
    <w:rsid w:val="00CF6E7A"/>
    <w:rsid w:val="00D15D6A"/>
    <w:rsid w:val="00D17247"/>
    <w:rsid w:val="00D3017B"/>
    <w:rsid w:val="00D3044D"/>
    <w:rsid w:val="00D51B02"/>
    <w:rsid w:val="00D600B4"/>
    <w:rsid w:val="00D62832"/>
    <w:rsid w:val="00D62B5C"/>
    <w:rsid w:val="00D66213"/>
    <w:rsid w:val="00D67DFD"/>
    <w:rsid w:val="00D71C1B"/>
    <w:rsid w:val="00D75251"/>
    <w:rsid w:val="00D912AB"/>
    <w:rsid w:val="00D9467B"/>
    <w:rsid w:val="00D96A10"/>
    <w:rsid w:val="00DC281D"/>
    <w:rsid w:val="00DC516A"/>
    <w:rsid w:val="00DC6F36"/>
    <w:rsid w:val="00DD6122"/>
    <w:rsid w:val="00DD6521"/>
    <w:rsid w:val="00DE232E"/>
    <w:rsid w:val="00DE7BB6"/>
    <w:rsid w:val="00DF57BB"/>
    <w:rsid w:val="00DF64A2"/>
    <w:rsid w:val="00E15B36"/>
    <w:rsid w:val="00E23C7B"/>
    <w:rsid w:val="00E333E3"/>
    <w:rsid w:val="00E37E3F"/>
    <w:rsid w:val="00E43E18"/>
    <w:rsid w:val="00E53A9F"/>
    <w:rsid w:val="00E741D9"/>
    <w:rsid w:val="00E87F8A"/>
    <w:rsid w:val="00E92A74"/>
    <w:rsid w:val="00E93BCA"/>
    <w:rsid w:val="00E948A1"/>
    <w:rsid w:val="00EA4A1A"/>
    <w:rsid w:val="00EB21BA"/>
    <w:rsid w:val="00ED5CBB"/>
    <w:rsid w:val="00EF59FE"/>
    <w:rsid w:val="00F1226C"/>
    <w:rsid w:val="00F15A3F"/>
    <w:rsid w:val="00F17624"/>
    <w:rsid w:val="00F24465"/>
    <w:rsid w:val="00F25C32"/>
    <w:rsid w:val="00F51ED2"/>
    <w:rsid w:val="00F57CD0"/>
    <w:rsid w:val="00F6609C"/>
    <w:rsid w:val="00F73C18"/>
    <w:rsid w:val="00FA53D3"/>
    <w:rsid w:val="00FC2729"/>
    <w:rsid w:val="00FC4F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59EE"/>
  <w15:chartTrackingRefBased/>
  <w15:docId w15:val="{724FC088-193C-41E2-AC0A-059429AF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D78"/>
    <w:pPr>
      <w:spacing w:after="200" w:line="276" w:lineRule="auto"/>
    </w:pPr>
    <w:rPr>
      <w:rFonts w:eastAsiaTheme="minorEastAsia"/>
      <w:kern w:val="0"/>
      <w:sz w:val="22"/>
      <w:szCs w:val="22"/>
      <w:lang w:val="en-US"/>
      <w14:ligatures w14:val="none"/>
    </w:rPr>
  </w:style>
  <w:style w:type="paragraph" w:styleId="Pealkiri1">
    <w:name w:val="heading 1"/>
    <w:basedOn w:val="Normaallaad"/>
    <w:next w:val="Normaallaad"/>
    <w:link w:val="Pealkiri1Mrk"/>
    <w:uiPriority w:val="9"/>
    <w:qFormat/>
    <w:rsid w:val="00513D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Pealkiri2">
    <w:name w:val="heading 2"/>
    <w:basedOn w:val="Normaallaad"/>
    <w:next w:val="Normaallaad"/>
    <w:link w:val="Pealkiri2Mrk"/>
    <w:uiPriority w:val="9"/>
    <w:semiHidden/>
    <w:unhideWhenUsed/>
    <w:qFormat/>
    <w:rsid w:val="00513D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Pealkiri3">
    <w:name w:val="heading 3"/>
    <w:basedOn w:val="Normaallaad"/>
    <w:next w:val="Normaallaad"/>
    <w:link w:val="Pealkiri3Mrk"/>
    <w:uiPriority w:val="9"/>
    <w:semiHidden/>
    <w:unhideWhenUsed/>
    <w:qFormat/>
    <w:rsid w:val="00513D78"/>
    <w:pPr>
      <w:keepNext/>
      <w:keepLines/>
      <w:spacing w:before="160" w:after="80" w:line="278" w:lineRule="auto"/>
      <w:outlineLvl w:val="2"/>
    </w:pPr>
    <w:rPr>
      <w:rFonts w:eastAsiaTheme="majorEastAsia" w:cstheme="majorBidi"/>
      <w:color w:val="0F4761" w:themeColor="accent1" w:themeShade="BF"/>
      <w:kern w:val="2"/>
      <w:sz w:val="28"/>
      <w:szCs w:val="28"/>
      <w:lang w:val="et-EE"/>
      <w14:ligatures w14:val="standardContextual"/>
    </w:rPr>
  </w:style>
  <w:style w:type="paragraph" w:styleId="Pealkiri4">
    <w:name w:val="heading 4"/>
    <w:basedOn w:val="Normaallaad"/>
    <w:next w:val="Normaallaad"/>
    <w:link w:val="Pealkiri4Mrk"/>
    <w:uiPriority w:val="9"/>
    <w:semiHidden/>
    <w:unhideWhenUsed/>
    <w:qFormat/>
    <w:rsid w:val="00513D78"/>
    <w:pPr>
      <w:keepNext/>
      <w:keepLines/>
      <w:spacing w:before="80" w:after="40" w:line="278" w:lineRule="auto"/>
      <w:outlineLvl w:val="3"/>
    </w:pPr>
    <w:rPr>
      <w:rFonts w:eastAsiaTheme="majorEastAsia" w:cstheme="majorBidi"/>
      <w:i/>
      <w:iCs/>
      <w:color w:val="0F4761" w:themeColor="accent1" w:themeShade="BF"/>
      <w:kern w:val="2"/>
      <w:sz w:val="24"/>
      <w:szCs w:val="24"/>
      <w:lang w:val="et-EE"/>
      <w14:ligatures w14:val="standardContextual"/>
    </w:rPr>
  </w:style>
  <w:style w:type="paragraph" w:styleId="Pealkiri5">
    <w:name w:val="heading 5"/>
    <w:basedOn w:val="Normaallaad"/>
    <w:next w:val="Normaallaad"/>
    <w:link w:val="Pealkiri5Mrk"/>
    <w:uiPriority w:val="9"/>
    <w:semiHidden/>
    <w:unhideWhenUsed/>
    <w:qFormat/>
    <w:rsid w:val="00513D78"/>
    <w:pPr>
      <w:keepNext/>
      <w:keepLines/>
      <w:spacing w:before="80" w:after="40" w:line="278" w:lineRule="auto"/>
      <w:outlineLvl w:val="4"/>
    </w:pPr>
    <w:rPr>
      <w:rFonts w:eastAsiaTheme="majorEastAsia" w:cstheme="majorBidi"/>
      <w:color w:val="0F4761" w:themeColor="accent1" w:themeShade="BF"/>
      <w:kern w:val="2"/>
      <w:sz w:val="24"/>
      <w:szCs w:val="24"/>
      <w:lang w:val="et-EE"/>
      <w14:ligatures w14:val="standardContextual"/>
    </w:rPr>
  </w:style>
  <w:style w:type="paragraph" w:styleId="Pealkiri6">
    <w:name w:val="heading 6"/>
    <w:basedOn w:val="Normaallaad"/>
    <w:next w:val="Normaallaad"/>
    <w:link w:val="Pealkiri6Mrk"/>
    <w:uiPriority w:val="9"/>
    <w:semiHidden/>
    <w:unhideWhenUsed/>
    <w:qFormat/>
    <w:rsid w:val="00513D78"/>
    <w:pPr>
      <w:keepNext/>
      <w:keepLines/>
      <w:spacing w:before="40" w:after="0" w:line="278" w:lineRule="auto"/>
      <w:outlineLvl w:val="5"/>
    </w:pPr>
    <w:rPr>
      <w:rFonts w:eastAsiaTheme="majorEastAsia" w:cstheme="majorBidi"/>
      <w:i/>
      <w:iCs/>
      <w:color w:val="595959" w:themeColor="text1" w:themeTint="A6"/>
      <w:kern w:val="2"/>
      <w:sz w:val="24"/>
      <w:szCs w:val="24"/>
      <w:lang w:val="et-EE"/>
      <w14:ligatures w14:val="standardContextual"/>
    </w:rPr>
  </w:style>
  <w:style w:type="paragraph" w:styleId="Pealkiri7">
    <w:name w:val="heading 7"/>
    <w:basedOn w:val="Normaallaad"/>
    <w:next w:val="Normaallaad"/>
    <w:link w:val="Pealkiri7Mrk"/>
    <w:uiPriority w:val="9"/>
    <w:semiHidden/>
    <w:unhideWhenUsed/>
    <w:qFormat/>
    <w:rsid w:val="00513D78"/>
    <w:pPr>
      <w:keepNext/>
      <w:keepLines/>
      <w:spacing w:before="40" w:after="0" w:line="278" w:lineRule="auto"/>
      <w:outlineLvl w:val="6"/>
    </w:pPr>
    <w:rPr>
      <w:rFonts w:eastAsiaTheme="majorEastAsia" w:cstheme="majorBidi"/>
      <w:color w:val="595959" w:themeColor="text1" w:themeTint="A6"/>
      <w:kern w:val="2"/>
      <w:sz w:val="24"/>
      <w:szCs w:val="24"/>
      <w:lang w:val="et-EE"/>
      <w14:ligatures w14:val="standardContextual"/>
    </w:rPr>
  </w:style>
  <w:style w:type="paragraph" w:styleId="Pealkiri8">
    <w:name w:val="heading 8"/>
    <w:basedOn w:val="Normaallaad"/>
    <w:next w:val="Normaallaad"/>
    <w:link w:val="Pealkiri8Mrk"/>
    <w:uiPriority w:val="9"/>
    <w:semiHidden/>
    <w:unhideWhenUsed/>
    <w:qFormat/>
    <w:rsid w:val="00513D78"/>
    <w:pPr>
      <w:keepNext/>
      <w:keepLines/>
      <w:spacing w:after="0" w:line="278" w:lineRule="auto"/>
      <w:outlineLvl w:val="7"/>
    </w:pPr>
    <w:rPr>
      <w:rFonts w:eastAsiaTheme="majorEastAsia" w:cstheme="majorBidi"/>
      <w:i/>
      <w:iCs/>
      <w:color w:val="272727" w:themeColor="text1" w:themeTint="D8"/>
      <w:kern w:val="2"/>
      <w:sz w:val="24"/>
      <w:szCs w:val="24"/>
      <w:lang w:val="et-EE"/>
      <w14:ligatures w14:val="standardContextual"/>
    </w:rPr>
  </w:style>
  <w:style w:type="paragraph" w:styleId="Pealkiri9">
    <w:name w:val="heading 9"/>
    <w:basedOn w:val="Normaallaad"/>
    <w:next w:val="Normaallaad"/>
    <w:link w:val="Pealkiri9Mrk"/>
    <w:uiPriority w:val="9"/>
    <w:semiHidden/>
    <w:unhideWhenUsed/>
    <w:qFormat/>
    <w:rsid w:val="00513D78"/>
    <w:pPr>
      <w:keepNext/>
      <w:keepLines/>
      <w:spacing w:after="0" w:line="278" w:lineRule="auto"/>
      <w:outlineLvl w:val="8"/>
    </w:pPr>
    <w:rPr>
      <w:rFonts w:eastAsiaTheme="majorEastAsia" w:cstheme="majorBidi"/>
      <w:color w:val="272727" w:themeColor="text1" w:themeTint="D8"/>
      <w:kern w:val="2"/>
      <w:sz w:val="24"/>
      <w:szCs w:val="24"/>
      <w:lang w:val="et-EE"/>
      <w14:ligatures w14:val="standardContextual"/>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13D7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13D7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13D7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13D7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13D7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13D7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3D7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3D7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3D7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13D78"/>
    <w:pPr>
      <w:spacing w:after="80" w:line="240" w:lineRule="auto"/>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PealkiriMrk">
    <w:name w:val="Pealkiri Märk"/>
    <w:basedOn w:val="Liguvaikefont"/>
    <w:link w:val="Pealkiri"/>
    <w:uiPriority w:val="10"/>
    <w:rsid w:val="00513D7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13D78"/>
    <w:pPr>
      <w:numPr>
        <w:ilvl w:val="1"/>
      </w:numPr>
      <w:spacing w:after="160" w:line="278" w:lineRule="auto"/>
    </w:pPr>
    <w:rPr>
      <w:rFonts w:eastAsiaTheme="majorEastAsia" w:cstheme="majorBidi"/>
      <w:color w:val="595959" w:themeColor="text1" w:themeTint="A6"/>
      <w:spacing w:val="15"/>
      <w:kern w:val="2"/>
      <w:sz w:val="28"/>
      <w:szCs w:val="28"/>
      <w:lang w:val="et-EE"/>
      <w14:ligatures w14:val="standardContextual"/>
    </w:rPr>
  </w:style>
  <w:style w:type="character" w:customStyle="1" w:styleId="AlapealkiriMrk">
    <w:name w:val="Alapealkiri Märk"/>
    <w:basedOn w:val="Liguvaikefont"/>
    <w:link w:val="Alapealkiri"/>
    <w:uiPriority w:val="11"/>
    <w:rsid w:val="00513D7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13D78"/>
    <w:pPr>
      <w:spacing w:before="160" w:after="160" w:line="278" w:lineRule="auto"/>
      <w:jc w:val="center"/>
    </w:pPr>
    <w:rPr>
      <w:rFonts w:eastAsiaTheme="minorHAnsi"/>
      <w:i/>
      <w:iCs/>
      <w:color w:val="404040" w:themeColor="text1" w:themeTint="BF"/>
      <w:kern w:val="2"/>
      <w:sz w:val="24"/>
      <w:szCs w:val="24"/>
      <w:lang w:val="et-EE"/>
      <w14:ligatures w14:val="standardContextual"/>
    </w:rPr>
  </w:style>
  <w:style w:type="character" w:customStyle="1" w:styleId="TsitaatMrk">
    <w:name w:val="Tsitaat Märk"/>
    <w:basedOn w:val="Liguvaikefont"/>
    <w:link w:val="Tsitaat"/>
    <w:uiPriority w:val="29"/>
    <w:rsid w:val="00513D78"/>
    <w:rPr>
      <w:i/>
      <w:iCs/>
      <w:color w:val="404040" w:themeColor="text1" w:themeTint="BF"/>
    </w:rPr>
  </w:style>
  <w:style w:type="paragraph" w:styleId="Loendilik">
    <w:name w:val="List Paragraph"/>
    <w:basedOn w:val="Normaallaad"/>
    <w:uiPriority w:val="34"/>
    <w:qFormat/>
    <w:rsid w:val="00513D78"/>
    <w:pPr>
      <w:spacing w:after="160" w:line="278" w:lineRule="auto"/>
      <w:ind w:left="720"/>
      <w:contextualSpacing/>
    </w:pPr>
    <w:rPr>
      <w:rFonts w:eastAsiaTheme="minorHAnsi"/>
      <w:kern w:val="2"/>
      <w:sz w:val="24"/>
      <w:szCs w:val="24"/>
      <w:lang w:val="et-EE"/>
      <w14:ligatures w14:val="standardContextual"/>
    </w:rPr>
  </w:style>
  <w:style w:type="character" w:styleId="Selgeltmrgatavrhutus">
    <w:name w:val="Intense Emphasis"/>
    <w:basedOn w:val="Liguvaikefont"/>
    <w:uiPriority w:val="21"/>
    <w:qFormat/>
    <w:rsid w:val="00513D78"/>
    <w:rPr>
      <w:i/>
      <w:iCs/>
      <w:color w:val="0F4761" w:themeColor="accent1" w:themeShade="BF"/>
    </w:rPr>
  </w:style>
  <w:style w:type="paragraph" w:styleId="Selgeltmrgatavtsitaat">
    <w:name w:val="Intense Quote"/>
    <w:basedOn w:val="Normaallaad"/>
    <w:next w:val="Normaallaad"/>
    <w:link w:val="SelgeltmrgatavtsitaatMrk"/>
    <w:uiPriority w:val="30"/>
    <w:qFormat/>
    <w:rsid w:val="00513D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t-EE"/>
      <w14:ligatures w14:val="standardContextual"/>
    </w:rPr>
  </w:style>
  <w:style w:type="character" w:customStyle="1" w:styleId="SelgeltmrgatavtsitaatMrk">
    <w:name w:val="Selgelt märgatav tsitaat Märk"/>
    <w:basedOn w:val="Liguvaikefont"/>
    <w:link w:val="Selgeltmrgatavtsitaat"/>
    <w:uiPriority w:val="30"/>
    <w:rsid w:val="00513D78"/>
    <w:rPr>
      <w:i/>
      <w:iCs/>
      <w:color w:val="0F4761" w:themeColor="accent1" w:themeShade="BF"/>
    </w:rPr>
  </w:style>
  <w:style w:type="character" w:styleId="Selgeltmrgatavviide">
    <w:name w:val="Intense Reference"/>
    <w:basedOn w:val="Liguvaikefont"/>
    <w:uiPriority w:val="32"/>
    <w:qFormat/>
    <w:rsid w:val="00513D78"/>
    <w:rPr>
      <w:b/>
      <w:bCs/>
      <w:smallCaps/>
      <w:color w:val="0F4761" w:themeColor="accent1" w:themeShade="BF"/>
      <w:spacing w:val="5"/>
    </w:rPr>
  </w:style>
  <w:style w:type="character" w:styleId="Hperlink">
    <w:name w:val="Hyperlink"/>
    <w:basedOn w:val="Liguvaikefont"/>
    <w:uiPriority w:val="99"/>
    <w:semiHidden/>
    <w:unhideWhenUsed/>
    <w:rsid w:val="00E948A1"/>
    <w:rPr>
      <w:color w:val="467886"/>
      <w:u w:val="single"/>
    </w:rPr>
  </w:style>
  <w:style w:type="paragraph" w:styleId="Pis">
    <w:name w:val="header"/>
    <w:basedOn w:val="Normaallaad"/>
    <w:link w:val="PisMrk"/>
    <w:uiPriority w:val="99"/>
    <w:unhideWhenUsed/>
    <w:rsid w:val="003C1E2D"/>
    <w:pPr>
      <w:tabs>
        <w:tab w:val="center" w:pos="4536"/>
        <w:tab w:val="right" w:pos="9072"/>
      </w:tabs>
      <w:spacing w:after="0" w:line="240" w:lineRule="auto"/>
    </w:pPr>
  </w:style>
  <w:style w:type="character" w:customStyle="1" w:styleId="PisMrk">
    <w:name w:val="Päis Märk"/>
    <w:basedOn w:val="Liguvaikefont"/>
    <w:link w:val="Pis"/>
    <w:uiPriority w:val="99"/>
    <w:rsid w:val="003C1E2D"/>
    <w:rPr>
      <w:rFonts w:eastAsiaTheme="minorEastAsia"/>
      <w:kern w:val="0"/>
      <w:sz w:val="22"/>
      <w:szCs w:val="22"/>
      <w:lang w:val="en-US"/>
      <w14:ligatures w14:val="none"/>
    </w:rPr>
  </w:style>
  <w:style w:type="paragraph" w:styleId="Jalus">
    <w:name w:val="footer"/>
    <w:basedOn w:val="Normaallaad"/>
    <w:link w:val="JalusMrk"/>
    <w:uiPriority w:val="99"/>
    <w:unhideWhenUsed/>
    <w:rsid w:val="003C1E2D"/>
    <w:pPr>
      <w:tabs>
        <w:tab w:val="center" w:pos="4536"/>
        <w:tab w:val="right" w:pos="9072"/>
      </w:tabs>
      <w:spacing w:after="0" w:line="240" w:lineRule="auto"/>
    </w:pPr>
  </w:style>
  <w:style w:type="character" w:customStyle="1" w:styleId="JalusMrk">
    <w:name w:val="Jalus Märk"/>
    <w:basedOn w:val="Liguvaikefont"/>
    <w:link w:val="Jalus"/>
    <w:uiPriority w:val="99"/>
    <w:rsid w:val="003C1E2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B724-D26B-4BEB-B623-6A20506C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1220</Words>
  <Characters>7077</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Kruusement - JUSTDIGI</dc:creator>
  <cp:keywords/>
  <dc:description/>
  <cp:lastModifiedBy>Aare Pere - JUSTDIGI</cp:lastModifiedBy>
  <cp:revision>4</cp:revision>
  <dcterms:created xsi:type="dcterms:W3CDTF">2026-03-30T13:21:00Z</dcterms:created>
  <dcterms:modified xsi:type="dcterms:W3CDTF">2026-03-30T14:00:00Z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2026-03-12T12:06:38Z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2d67bd0d-8a12-4a38-ae2a-336f97729e28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